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B0D07" w14:textId="77777777" w:rsidR="00A859F0" w:rsidRPr="00B34CB4" w:rsidRDefault="00B34CB4" w:rsidP="00214E77">
      <w:pPr>
        <w:pStyle w:val="Plattetekst"/>
        <w:jc w:val="both"/>
        <w:rPr>
          <w:rFonts w:ascii="Times New Roman"/>
          <w:sz w:val="20"/>
          <w:lang w:val="fr-BE"/>
        </w:rPr>
      </w:pPr>
      <w:r w:rsidRPr="00B34CB4">
        <w:rPr>
          <w:noProof/>
          <w:lang w:val="fr-BE"/>
        </w:rPr>
        <w:drawing>
          <wp:anchor distT="0" distB="0" distL="114300" distR="114300" simplePos="0" relativeHeight="251658240" behindDoc="0" locked="0" layoutInCell="1" allowOverlap="1" wp14:anchorId="1C23620F" wp14:editId="1475A428">
            <wp:simplePos x="0" y="0"/>
            <wp:positionH relativeFrom="page">
              <wp:posOffset>0</wp:posOffset>
            </wp:positionH>
            <wp:positionV relativeFrom="page">
              <wp:posOffset>0</wp:posOffset>
            </wp:positionV>
            <wp:extent cx="7577455" cy="2165350"/>
            <wp:effectExtent l="0" t="0" r="4445" b="6350"/>
            <wp:wrapSquare wrapText="bothSides"/>
            <wp:docPr id="1" name="Picture 1" descr="A picture containing sky, outdoor,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2-25 at 10.27.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455" cy="2165350"/>
                    </a:xfrm>
                    <a:prstGeom prst="rect">
                      <a:avLst/>
                    </a:prstGeom>
                  </pic:spPr>
                </pic:pic>
              </a:graphicData>
            </a:graphic>
            <wp14:sizeRelH relativeFrom="margin">
              <wp14:pctWidth>0</wp14:pctWidth>
            </wp14:sizeRelH>
            <wp14:sizeRelV relativeFrom="margin">
              <wp14:pctHeight>0</wp14:pctHeight>
            </wp14:sizeRelV>
          </wp:anchor>
        </w:drawing>
      </w:r>
    </w:p>
    <w:p w14:paraId="251F70DA" w14:textId="77777777" w:rsidR="00A859F0" w:rsidRPr="00B34CB4" w:rsidRDefault="00A859F0" w:rsidP="00214E77">
      <w:pPr>
        <w:pStyle w:val="Plattetekst"/>
        <w:jc w:val="both"/>
        <w:rPr>
          <w:rFonts w:ascii="Times New Roman"/>
          <w:sz w:val="20"/>
          <w:lang w:val="fr-BE"/>
        </w:rPr>
      </w:pPr>
    </w:p>
    <w:p w14:paraId="42393496" w14:textId="77777777" w:rsidR="00A859F0" w:rsidRPr="00B34CB4" w:rsidRDefault="00A859F0" w:rsidP="00214E77">
      <w:pPr>
        <w:pStyle w:val="Plattetekst"/>
        <w:tabs>
          <w:tab w:val="left" w:pos="9840"/>
        </w:tabs>
        <w:jc w:val="both"/>
        <w:rPr>
          <w:rFonts w:ascii="Times New Roman"/>
          <w:sz w:val="20"/>
          <w:lang w:val="fr-BE"/>
        </w:rPr>
      </w:pPr>
    </w:p>
    <w:p w14:paraId="27A32CB8" w14:textId="77777777" w:rsidR="00A859F0" w:rsidRPr="00B34CB4" w:rsidRDefault="00A859F0" w:rsidP="00214E77">
      <w:pPr>
        <w:pStyle w:val="Plattetekst"/>
        <w:spacing w:before="3"/>
        <w:jc w:val="both"/>
        <w:rPr>
          <w:rFonts w:ascii="Times New Roman"/>
          <w:sz w:val="19"/>
          <w:lang w:val="fr-BE"/>
        </w:rPr>
      </w:pPr>
    </w:p>
    <w:p w14:paraId="39F75A99" w14:textId="77777777" w:rsidR="00A859F0" w:rsidRPr="00B34CB4" w:rsidRDefault="00B34CB4" w:rsidP="00214E77">
      <w:pPr>
        <w:spacing w:before="52"/>
        <w:jc w:val="right"/>
        <w:rPr>
          <w:b/>
          <w:color w:val="A89153"/>
          <w:spacing w:val="-1"/>
          <w:sz w:val="24"/>
          <w:lang w:val="fr-BE"/>
        </w:rPr>
      </w:pPr>
      <w:r w:rsidRPr="00B34CB4">
        <w:rPr>
          <w:b/>
          <w:bCs/>
          <w:color w:val="A89153"/>
          <w:spacing w:val="-1"/>
          <w:sz w:val="24"/>
          <w:szCs w:val="24"/>
          <w:lang w:val="fr-BE"/>
        </w:rPr>
        <w:t>COMMUNIQUÉ DE PRESSE</w:t>
      </w:r>
    </w:p>
    <w:p w14:paraId="615B6B8F" w14:textId="77777777" w:rsidR="00B975EF" w:rsidRPr="00B34CB4" w:rsidRDefault="00B34CB4" w:rsidP="00214E77">
      <w:pPr>
        <w:pStyle w:val="BasicParagraph"/>
        <w:jc w:val="right"/>
        <w:rPr>
          <w:rFonts w:ascii="Calibri Light" w:hAnsi="Calibri Light" w:cs="Calibri Light"/>
          <w:b/>
          <w:bCs/>
          <w:sz w:val="20"/>
          <w:szCs w:val="20"/>
          <w:lang w:val="fr-BE"/>
        </w:rPr>
      </w:pPr>
      <w:r w:rsidRPr="00B34CB4">
        <w:rPr>
          <w:rFonts w:ascii="Calibri Light" w:eastAsia="Calibri Light" w:hAnsi="Calibri Light" w:cs="Calibri Light"/>
          <w:b/>
          <w:bCs/>
          <w:sz w:val="20"/>
          <w:szCs w:val="20"/>
          <w:lang w:val="fr-BE"/>
        </w:rPr>
        <w:t>Informations réglementées</w:t>
      </w:r>
    </w:p>
    <w:p w14:paraId="0B3A2DD6" w14:textId="77777777" w:rsidR="00D504A8" w:rsidRPr="00B34CB4" w:rsidRDefault="00B34CB4" w:rsidP="00214E77">
      <w:pPr>
        <w:pStyle w:val="BasicParagraph"/>
        <w:jc w:val="right"/>
        <w:rPr>
          <w:rFonts w:ascii="Calibri Light" w:hAnsi="Calibri Light" w:cs="Calibri Light"/>
          <w:b/>
          <w:bCs/>
          <w:sz w:val="20"/>
          <w:szCs w:val="20"/>
          <w:lang w:val="fr-BE"/>
        </w:rPr>
      </w:pPr>
      <w:r w:rsidRPr="00B34CB4">
        <w:rPr>
          <w:rFonts w:ascii="Calibri Light" w:eastAsia="Calibri Light" w:hAnsi="Calibri Light" w:cs="Calibri Light"/>
          <w:b/>
          <w:bCs/>
          <w:sz w:val="20"/>
          <w:szCs w:val="20"/>
          <w:lang w:val="fr-BE"/>
        </w:rPr>
        <w:t>Ternat, le 29 août 2022</w:t>
      </w:r>
    </w:p>
    <w:p w14:paraId="51FD18E6" w14:textId="77777777" w:rsidR="00B975EF" w:rsidRPr="00B34CB4" w:rsidRDefault="00B975EF" w:rsidP="00214E77">
      <w:pPr>
        <w:pStyle w:val="BasicParagraph"/>
        <w:jc w:val="both"/>
        <w:rPr>
          <w:rFonts w:ascii="Verdana" w:hAnsi="Verdana" w:cs="Verdana"/>
          <w:sz w:val="16"/>
          <w:szCs w:val="16"/>
          <w:lang w:val="fr-BE"/>
        </w:rPr>
      </w:pPr>
    </w:p>
    <w:p w14:paraId="75B10532" w14:textId="77777777" w:rsidR="00B975EF" w:rsidRPr="00B34CB4" w:rsidRDefault="00B975EF" w:rsidP="00214E77">
      <w:pPr>
        <w:spacing w:before="27"/>
        <w:ind w:right="475"/>
        <w:jc w:val="both"/>
        <w:rPr>
          <w:rFonts w:ascii="Calibri"/>
          <w:b/>
          <w:color w:val="231F20"/>
          <w:spacing w:val="-4"/>
          <w:sz w:val="24"/>
          <w:lang w:val="fr-BE"/>
        </w:rPr>
      </w:pPr>
    </w:p>
    <w:p w14:paraId="2321409C" w14:textId="77777777" w:rsidR="00984636" w:rsidRPr="00B34CB4" w:rsidRDefault="00984636" w:rsidP="00214E77">
      <w:pPr>
        <w:spacing w:before="27"/>
        <w:ind w:right="475"/>
        <w:jc w:val="both"/>
        <w:rPr>
          <w:rFonts w:ascii="Calibri"/>
          <w:b/>
          <w:sz w:val="24"/>
          <w:lang w:val="fr-BE"/>
        </w:rPr>
      </w:pPr>
    </w:p>
    <w:p w14:paraId="4DB85472" w14:textId="77777777" w:rsidR="00A859F0" w:rsidRPr="00B34CB4" w:rsidRDefault="00A859F0" w:rsidP="00214E77">
      <w:pPr>
        <w:pStyle w:val="Plattetekst"/>
        <w:jc w:val="both"/>
        <w:rPr>
          <w:rFonts w:ascii="Calibri"/>
          <w:b/>
          <w:sz w:val="20"/>
          <w:lang w:val="fr-BE"/>
        </w:rPr>
      </w:pPr>
    </w:p>
    <w:p w14:paraId="338C86F6" w14:textId="77777777" w:rsidR="00A859F0" w:rsidRPr="00B34CB4" w:rsidRDefault="00A859F0" w:rsidP="00214E77">
      <w:pPr>
        <w:pStyle w:val="Plattetekst"/>
        <w:jc w:val="both"/>
        <w:rPr>
          <w:rFonts w:ascii="Calibri"/>
          <w:b/>
          <w:sz w:val="20"/>
          <w:lang w:val="fr-BE"/>
        </w:rPr>
      </w:pPr>
    </w:p>
    <w:p w14:paraId="31225446" w14:textId="77777777" w:rsidR="00A859F0" w:rsidRPr="00B34CB4" w:rsidRDefault="00A859F0" w:rsidP="00214E77">
      <w:pPr>
        <w:pStyle w:val="Plattetekst"/>
        <w:jc w:val="both"/>
        <w:rPr>
          <w:rFonts w:ascii="Calibri"/>
          <w:b/>
          <w:sz w:val="20"/>
          <w:lang w:val="fr-BE"/>
        </w:rPr>
      </w:pPr>
    </w:p>
    <w:p w14:paraId="0D07D128" w14:textId="77777777" w:rsidR="00A859F0" w:rsidRPr="00B34CB4" w:rsidRDefault="00A859F0" w:rsidP="00214E77">
      <w:pPr>
        <w:pStyle w:val="Plattetekst"/>
        <w:jc w:val="both"/>
        <w:rPr>
          <w:rFonts w:ascii="Calibri"/>
          <w:b/>
          <w:sz w:val="20"/>
          <w:lang w:val="fr-BE"/>
        </w:rPr>
      </w:pPr>
    </w:p>
    <w:p w14:paraId="7FEFA932" w14:textId="77777777" w:rsidR="00A859F0" w:rsidRPr="00B34CB4" w:rsidRDefault="00A859F0" w:rsidP="00214E77">
      <w:pPr>
        <w:pStyle w:val="Plattetekst"/>
        <w:ind w:left="567"/>
        <w:jc w:val="both"/>
        <w:rPr>
          <w:rFonts w:ascii="Calibri"/>
          <w:b/>
          <w:sz w:val="20"/>
          <w:lang w:val="fr-BE"/>
        </w:rPr>
      </w:pPr>
    </w:p>
    <w:p w14:paraId="283ACFD0" w14:textId="77777777" w:rsidR="00965203" w:rsidRPr="00B34CB4" w:rsidRDefault="00B34CB4" w:rsidP="00214E77">
      <w:pPr>
        <w:pStyle w:val="Paragraphestandard"/>
        <w:spacing w:after="240"/>
        <w:jc w:val="both"/>
        <w:rPr>
          <w:rFonts w:ascii="Calibri Light" w:hAnsi="Calibri Light" w:cs="Calibri Light"/>
          <w:b/>
          <w:spacing w:val="30"/>
          <w:lang w:val="fr-BE"/>
        </w:rPr>
      </w:pPr>
      <w:r w:rsidRPr="00B34CB4">
        <w:rPr>
          <w:rFonts w:ascii="Calibri Light" w:eastAsia="Calibri Light" w:hAnsi="Calibri Light" w:cs="Calibri Light"/>
          <w:b/>
          <w:bCs/>
          <w:spacing w:val="30"/>
          <w:lang w:val="fr-BE"/>
        </w:rPr>
        <w:t>DÉCLARATION INTERMÉDIAIRE DU CONSEIL D’ADMINISTRATION</w:t>
      </w:r>
    </w:p>
    <w:p w14:paraId="734320B9" w14:textId="0A2276A1" w:rsidR="00965203" w:rsidRPr="00B34CB4" w:rsidRDefault="00B34CB4" w:rsidP="00214E77">
      <w:pPr>
        <w:pStyle w:val="Paragraphestandard"/>
        <w:spacing w:after="240"/>
        <w:jc w:val="both"/>
        <w:rPr>
          <w:rFonts w:ascii="Calibri Light" w:hAnsi="Calibri Light" w:cs="Calibri Light"/>
          <w:bCs/>
          <w:spacing w:val="30"/>
          <w:lang w:val="fr-BE"/>
        </w:rPr>
      </w:pPr>
      <w:r w:rsidRPr="00B34CB4">
        <w:rPr>
          <w:rFonts w:ascii="Calibri Light" w:eastAsia="Calibri Light" w:hAnsi="Calibri Light" w:cs="Calibri Light"/>
          <w:bCs/>
          <w:spacing w:val="30"/>
          <w:lang w:val="fr-BE"/>
        </w:rPr>
        <w:t>PREMIER TRIMESTRE 2022-2023</w:t>
      </w:r>
      <w:r w:rsidRPr="00B34CB4">
        <w:rPr>
          <w:rStyle w:val="Voetnootmarkering"/>
          <w:rFonts w:ascii="Calibri Light" w:hAnsi="Calibri Light" w:cs="Calibri Light"/>
          <w:bCs/>
          <w:spacing w:val="30"/>
          <w:lang w:val="fr-BE"/>
        </w:rPr>
        <w:footnoteReference w:id="1"/>
      </w:r>
      <w:r>
        <w:rPr>
          <w:rFonts w:ascii="Calibri Light" w:eastAsia="Calibri Light" w:hAnsi="Calibri Light" w:cs="Calibri Light"/>
          <w:bCs/>
          <w:spacing w:val="30"/>
          <w:lang w:val="fr-BE"/>
        </w:rPr>
        <w:t xml:space="preserve"> </w:t>
      </w:r>
      <w:r w:rsidRPr="00B34CB4">
        <w:rPr>
          <w:rFonts w:ascii="Calibri Light" w:eastAsia="Calibri Light" w:hAnsi="Calibri Light" w:cs="Calibri Light"/>
          <w:bCs/>
          <w:spacing w:val="30"/>
          <w:lang w:val="fr-BE"/>
        </w:rPr>
        <w:t>(clôturé le 30.06.2022)</w:t>
      </w:r>
      <w:r w:rsidR="00B6403D">
        <w:rPr>
          <w:rFonts w:ascii="Calibri Light" w:eastAsia="Calibri Light" w:hAnsi="Calibri Light" w:cs="Calibri Light"/>
          <w:bCs/>
          <w:spacing w:val="30"/>
          <w:lang w:val="fr-BE"/>
        </w:rPr>
        <w:t>.</w:t>
      </w:r>
    </w:p>
    <w:p w14:paraId="6F2E2B71" w14:textId="1CBB06CA" w:rsidR="00965203" w:rsidRPr="00B34CB4" w:rsidRDefault="00B34CB4" w:rsidP="00214E77">
      <w:pPr>
        <w:pStyle w:val="Paragraphestandard"/>
        <w:spacing w:after="240"/>
        <w:jc w:val="both"/>
        <w:rPr>
          <w:rFonts w:ascii="Calibri Light" w:hAnsi="Calibri Light" w:cs="Calibri Light"/>
          <w:bCs/>
          <w:spacing w:val="30"/>
          <w:lang w:val="fr-BE"/>
        </w:rPr>
      </w:pPr>
      <w:r w:rsidRPr="00B34CB4">
        <w:rPr>
          <w:rFonts w:ascii="Calibri Light" w:eastAsia="Calibri Light" w:hAnsi="Calibri Light" w:cs="Calibri Light"/>
          <w:bCs/>
          <w:spacing w:val="30"/>
          <w:lang w:val="fr-BE"/>
        </w:rPr>
        <w:t>LE RÉSULTAT EPRA</w:t>
      </w:r>
      <w:r w:rsidRPr="00B34CB4">
        <w:rPr>
          <w:rStyle w:val="Voetnootmarkering"/>
          <w:rFonts w:ascii="Calibri Light" w:hAnsi="Calibri Light" w:cs="Calibri Light"/>
          <w:bCs/>
          <w:spacing w:val="30"/>
          <w:lang w:val="fr-BE"/>
        </w:rPr>
        <w:footnoteReference w:id="2"/>
      </w:r>
      <w:r w:rsidRPr="00B34CB4">
        <w:rPr>
          <w:rFonts w:ascii="Calibri Light" w:eastAsia="Calibri Light" w:hAnsi="Calibri Light" w:cs="Calibri Light"/>
          <w:bCs/>
          <w:spacing w:val="30"/>
          <w:lang w:val="fr-BE"/>
        </w:rPr>
        <w:t xml:space="preserve"> DU PREMIER TRIMESTRE DE L’EXERCICE 2022-2023 S’ÉLÈVE À 18,6 MILLIONS D’EUROS</w:t>
      </w:r>
      <w:r w:rsidR="00B6403D">
        <w:rPr>
          <w:rFonts w:ascii="Calibri Light" w:eastAsia="Calibri Light" w:hAnsi="Calibri Light" w:cs="Calibri Light"/>
          <w:bCs/>
          <w:spacing w:val="30"/>
          <w:lang w:val="fr-BE"/>
        </w:rPr>
        <w:t xml:space="preserve"> </w:t>
      </w:r>
      <w:r w:rsidR="00333014">
        <w:rPr>
          <w:rFonts w:ascii="Calibri Light" w:eastAsia="Calibri Light" w:hAnsi="Calibri Light" w:cs="Calibri Light"/>
          <w:bCs/>
          <w:spacing w:val="30"/>
          <w:lang w:val="fr-BE"/>
        </w:rPr>
        <w:t xml:space="preserve">PAR RAPPORT </w:t>
      </w:r>
      <w:r w:rsidR="00333014" w:rsidRPr="00333014">
        <w:rPr>
          <w:rFonts w:ascii="Calibri Light" w:eastAsia="Calibri Light" w:hAnsi="Calibri Light" w:cs="Calibri Light"/>
          <w:bCs/>
          <w:spacing w:val="30"/>
          <w:lang w:val="fr-BE"/>
        </w:rPr>
        <w:t>À</w:t>
      </w:r>
      <w:r w:rsidR="00B6403D">
        <w:rPr>
          <w:rFonts w:ascii="Calibri Light" w:eastAsia="Calibri Light" w:hAnsi="Calibri Light" w:cs="Calibri Light"/>
          <w:bCs/>
          <w:spacing w:val="30"/>
          <w:lang w:val="fr-BE"/>
        </w:rPr>
        <w:t xml:space="preserve"> 18,54 MILLIONS D’EUROS L’EXCERCICE PRÉCÉDENT. </w:t>
      </w:r>
      <w:r w:rsidRPr="00B34CB4">
        <w:rPr>
          <w:rFonts w:ascii="Calibri Light" w:eastAsia="Calibri Light" w:hAnsi="Calibri Light" w:cs="Calibri Light"/>
          <w:bCs/>
          <w:spacing w:val="30"/>
          <w:lang w:val="fr-BE"/>
        </w:rPr>
        <w:t>LE BÉNÉFICE EPRA PAR ACTION S’ÉLÈVE À 1,39 EUROS</w:t>
      </w:r>
      <w:r w:rsidR="00B6403D">
        <w:rPr>
          <w:rFonts w:ascii="Calibri Light" w:eastAsia="Calibri Light" w:hAnsi="Calibri Light" w:cs="Calibri Light"/>
          <w:bCs/>
          <w:spacing w:val="30"/>
          <w:lang w:val="fr-BE"/>
        </w:rPr>
        <w:t>.</w:t>
      </w:r>
    </w:p>
    <w:p w14:paraId="59458D5A" w14:textId="54616C4A" w:rsidR="00965203" w:rsidRPr="00B34CB4" w:rsidRDefault="00B34CB4" w:rsidP="00214E77">
      <w:pPr>
        <w:pStyle w:val="Paragraphestandard"/>
        <w:spacing w:after="240"/>
        <w:jc w:val="both"/>
        <w:rPr>
          <w:rFonts w:ascii="Calibri Light" w:hAnsi="Calibri Light" w:cs="Calibri Light"/>
          <w:bCs/>
          <w:spacing w:val="30"/>
          <w:lang w:val="fr-BE"/>
        </w:rPr>
      </w:pPr>
      <w:r w:rsidRPr="00B34CB4">
        <w:rPr>
          <w:rFonts w:ascii="Calibri Light" w:eastAsia="Calibri Light" w:hAnsi="Calibri Light" w:cs="Calibri Light"/>
          <w:bCs/>
          <w:spacing w:val="30"/>
          <w:lang w:val="fr-BE"/>
        </w:rPr>
        <w:t>LA JUSTE VALEUR DU PORTEFEUILLE IMMOBILIER S’ÉLÈVE À 1 781 MILLIONS D’EUROS EN DATE DU 30 JUIN 2022. À PÉRIMÈTRE CONSTANT, LES ÉVALUATIONS ONT LÉGÈREMENT AUGMENTÉ PAR RAPPORT AUX ÉVALUATIONS AU 31 MARS 2022</w:t>
      </w:r>
      <w:r w:rsidR="00B6403D">
        <w:rPr>
          <w:rFonts w:ascii="Calibri Light" w:eastAsia="Calibri Light" w:hAnsi="Calibri Light" w:cs="Calibri Light"/>
          <w:bCs/>
          <w:spacing w:val="30"/>
          <w:lang w:val="fr-BE"/>
        </w:rPr>
        <w:t>.</w:t>
      </w:r>
    </w:p>
    <w:p w14:paraId="5C4CA6E9" w14:textId="77777777" w:rsidR="00A859F0" w:rsidRPr="00B34CB4" w:rsidRDefault="00A859F0" w:rsidP="00214E77">
      <w:pPr>
        <w:pStyle w:val="Plattetekst"/>
        <w:jc w:val="both"/>
        <w:rPr>
          <w:rFonts w:ascii="Calibri"/>
          <w:b/>
          <w:sz w:val="24"/>
          <w:szCs w:val="24"/>
          <w:lang w:val="fr-BE"/>
        </w:rPr>
      </w:pPr>
    </w:p>
    <w:p w14:paraId="03AC2419" w14:textId="77777777" w:rsidR="00A859F0" w:rsidRPr="00B34CB4" w:rsidRDefault="00A859F0" w:rsidP="00214E77">
      <w:pPr>
        <w:pStyle w:val="Plattetekst"/>
        <w:jc w:val="both"/>
        <w:rPr>
          <w:rFonts w:ascii="Calibri"/>
          <w:b/>
          <w:sz w:val="24"/>
          <w:szCs w:val="24"/>
          <w:lang w:val="fr-BE"/>
        </w:rPr>
      </w:pPr>
    </w:p>
    <w:p w14:paraId="6A3C17AB" w14:textId="77777777" w:rsidR="00A859F0" w:rsidRPr="00B34CB4" w:rsidRDefault="00A859F0" w:rsidP="00214E77">
      <w:pPr>
        <w:pStyle w:val="Plattetekst"/>
        <w:jc w:val="both"/>
        <w:rPr>
          <w:rFonts w:ascii="Calibri"/>
          <w:b/>
          <w:sz w:val="20"/>
          <w:lang w:val="fr-BE"/>
        </w:rPr>
      </w:pPr>
    </w:p>
    <w:p w14:paraId="1E64FDA6" w14:textId="77777777" w:rsidR="00A859F0" w:rsidRPr="00B34CB4" w:rsidRDefault="00A859F0" w:rsidP="00214E77">
      <w:pPr>
        <w:pStyle w:val="Plattetekst"/>
        <w:spacing w:before="6"/>
        <w:jc w:val="both"/>
        <w:rPr>
          <w:rFonts w:ascii="Calibri"/>
          <w:b/>
          <w:sz w:val="26"/>
          <w:lang w:val="fr-BE"/>
        </w:rPr>
      </w:pPr>
    </w:p>
    <w:p w14:paraId="23638CD1" w14:textId="77777777" w:rsidR="00A859F0" w:rsidRPr="00B34CB4" w:rsidRDefault="00A859F0" w:rsidP="00214E77">
      <w:pPr>
        <w:spacing w:line="225" w:lineRule="auto"/>
        <w:jc w:val="both"/>
        <w:rPr>
          <w:rFonts w:ascii="Calibri"/>
          <w:sz w:val="14"/>
          <w:lang w:val="fr-BE"/>
        </w:rPr>
        <w:sectPr w:rsidR="00A859F0" w:rsidRPr="00B34CB4" w:rsidSect="00920017">
          <w:pgSz w:w="11910" w:h="16840"/>
          <w:pgMar w:top="1580" w:right="1420" w:bottom="1134" w:left="1418" w:header="708" w:footer="708" w:gutter="0"/>
          <w:cols w:space="708"/>
        </w:sectPr>
      </w:pPr>
    </w:p>
    <w:p w14:paraId="3D1DFAA7" w14:textId="77777777" w:rsidR="00920017" w:rsidRPr="00B34CB4" w:rsidRDefault="00B34CB4" w:rsidP="00214E77">
      <w:pPr>
        <w:widowControl/>
        <w:numPr>
          <w:ilvl w:val="0"/>
          <w:numId w:val="2"/>
        </w:numPr>
        <w:tabs>
          <w:tab w:val="left" w:pos="426"/>
        </w:tabs>
        <w:autoSpaceDE/>
        <w:autoSpaceDN/>
        <w:spacing w:before="52"/>
        <w:ind w:left="0" w:firstLine="0"/>
        <w:jc w:val="both"/>
        <w:rPr>
          <w:rFonts w:eastAsiaTheme="minorHAnsi"/>
          <w:b/>
          <w:color w:val="A89153"/>
          <w:sz w:val="24"/>
          <w:szCs w:val="24"/>
          <w:lang w:val="fr-BE" w:eastAsia="en-US" w:bidi="ar-SA"/>
        </w:rPr>
      </w:pPr>
      <w:r w:rsidRPr="00B34CB4">
        <w:rPr>
          <w:b/>
          <w:bCs/>
          <w:color w:val="A89153"/>
          <w:sz w:val="24"/>
          <w:szCs w:val="24"/>
          <w:lang w:val="fr-BE" w:eastAsia="en-US" w:bidi="ar-SA"/>
        </w:rPr>
        <w:lastRenderedPageBreak/>
        <w:t>ACTIVITÉS IMMOBILIÈRES AU PREMIER TRIMESTRE 2022-2023</w:t>
      </w:r>
    </w:p>
    <w:p w14:paraId="4225B282" w14:textId="77777777" w:rsidR="00965203" w:rsidRPr="00B34CB4" w:rsidRDefault="00965203" w:rsidP="00214E77">
      <w:pPr>
        <w:widowControl/>
        <w:tabs>
          <w:tab w:val="left" w:pos="426"/>
        </w:tabs>
        <w:autoSpaceDE/>
        <w:autoSpaceDN/>
        <w:spacing w:before="52"/>
        <w:jc w:val="both"/>
        <w:rPr>
          <w:rFonts w:eastAsiaTheme="minorHAnsi"/>
          <w:b/>
          <w:color w:val="A89153"/>
          <w:sz w:val="24"/>
          <w:szCs w:val="24"/>
          <w:lang w:val="fr-BE" w:eastAsia="en-US" w:bidi="ar-SA"/>
        </w:rPr>
      </w:pPr>
    </w:p>
    <w:p w14:paraId="3B3DF6E6" w14:textId="77777777" w:rsidR="00965203" w:rsidRPr="00B34CB4" w:rsidRDefault="00B34CB4" w:rsidP="00214E77">
      <w:pPr>
        <w:pStyle w:val="Lijstalinea"/>
        <w:widowControl/>
        <w:numPr>
          <w:ilvl w:val="1"/>
          <w:numId w:val="3"/>
        </w:numPr>
        <w:autoSpaceDE/>
        <w:autoSpaceDN/>
        <w:spacing w:after="160" w:line="259" w:lineRule="auto"/>
        <w:ind w:left="426" w:hanging="426"/>
        <w:contextualSpacing/>
        <w:jc w:val="both"/>
        <w:rPr>
          <w:rFonts w:ascii="Calibri Light" w:hAnsi="Calibri Light" w:cs="Calibri Light"/>
          <w:b/>
          <w:lang w:val="fr-BE"/>
        </w:rPr>
      </w:pPr>
      <w:r w:rsidRPr="00B34CB4">
        <w:rPr>
          <w:rFonts w:ascii="Calibri Light" w:eastAsia="Calibri Light" w:hAnsi="Calibri Light" w:cs="Calibri Light"/>
          <w:b/>
          <w:bCs/>
          <w:lang w:val="fr-BE"/>
        </w:rPr>
        <w:t>Revenus locatifs et taux d’occupation</w:t>
      </w:r>
      <w:r w:rsidRPr="00B34CB4">
        <w:rPr>
          <w:rStyle w:val="Voetnootmarkering"/>
          <w:rFonts w:ascii="Calibri Light" w:hAnsi="Calibri Light" w:cs="Calibri Light"/>
          <w:bCs/>
          <w:color w:val="000000"/>
          <w:spacing w:val="30"/>
          <w:szCs w:val="24"/>
          <w:lang w:val="fr-BE"/>
        </w:rPr>
        <w:footnoteReference w:id="3"/>
      </w:r>
    </w:p>
    <w:p w14:paraId="5335AEF1" w14:textId="55E6DD46" w:rsidR="00965203" w:rsidRPr="00B34CB4" w:rsidRDefault="00B34CB4" w:rsidP="00214E77">
      <w:pPr>
        <w:ind w:left="462"/>
        <w:jc w:val="both"/>
        <w:rPr>
          <w:lang w:val="fr-BE"/>
        </w:rPr>
      </w:pPr>
      <w:r w:rsidRPr="00B34CB4">
        <w:rPr>
          <w:lang w:val="fr-BE"/>
        </w:rPr>
        <w:t>Le résultat locatif net du premier trimestre de l’exercice s’élève à 29</w:t>
      </w:r>
      <w:r w:rsidR="00456818">
        <w:rPr>
          <w:lang w:val="fr-BE"/>
        </w:rPr>
        <w:t>,</w:t>
      </w:r>
      <w:r w:rsidRPr="00B34CB4">
        <w:rPr>
          <w:lang w:val="fr-BE"/>
        </w:rPr>
        <w:t xml:space="preserve">56 millions d’euros, ce qui représente une hausse de 3,59 % par rapport au trimestre comparable de l’exercice 2021-2022. </w:t>
      </w:r>
    </w:p>
    <w:p w14:paraId="4D854824" w14:textId="77777777" w:rsidR="00CB53F1" w:rsidRPr="00B34CB4" w:rsidRDefault="00CB53F1" w:rsidP="00214E77">
      <w:pPr>
        <w:ind w:left="462"/>
        <w:jc w:val="both"/>
        <w:rPr>
          <w:lang w:val="fr-BE"/>
        </w:rPr>
      </w:pPr>
    </w:p>
    <w:p w14:paraId="0D2D58D6" w14:textId="77777777" w:rsidR="00920017" w:rsidRPr="00B34CB4" w:rsidRDefault="00B34CB4" w:rsidP="00214E77">
      <w:pPr>
        <w:ind w:left="462"/>
        <w:jc w:val="both"/>
        <w:rPr>
          <w:lang w:val="fr-BE"/>
        </w:rPr>
      </w:pPr>
      <w:r w:rsidRPr="00B34CB4">
        <w:rPr>
          <w:lang w:val="fr-BE"/>
        </w:rPr>
        <w:t>Le taux d'occupation du portefeuille total au 30 juin 2022 est de 97,64 % par rapport à 97,83 % au 31 mars 2022.</w:t>
      </w:r>
    </w:p>
    <w:p w14:paraId="1FB5AF5C" w14:textId="77777777" w:rsidR="00965203" w:rsidRPr="00B34CB4" w:rsidRDefault="00965203" w:rsidP="00214E77">
      <w:pPr>
        <w:ind w:left="462"/>
        <w:jc w:val="both"/>
        <w:rPr>
          <w:lang w:val="fr-BE"/>
        </w:rPr>
      </w:pPr>
    </w:p>
    <w:p w14:paraId="181516F2" w14:textId="77777777" w:rsidR="00965203" w:rsidRPr="00B34CB4" w:rsidRDefault="00B34CB4" w:rsidP="00214E77">
      <w:pPr>
        <w:pStyle w:val="Lijstalinea"/>
        <w:widowControl/>
        <w:numPr>
          <w:ilvl w:val="1"/>
          <w:numId w:val="3"/>
        </w:numPr>
        <w:autoSpaceDE/>
        <w:autoSpaceDN/>
        <w:spacing w:after="160" w:line="259" w:lineRule="auto"/>
        <w:ind w:left="426" w:hanging="426"/>
        <w:contextualSpacing/>
        <w:jc w:val="both"/>
        <w:rPr>
          <w:rFonts w:ascii="Calibri Light" w:hAnsi="Calibri Light" w:cs="Calibri Light"/>
          <w:b/>
          <w:lang w:val="fr-BE"/>
        </w:rPr>
      </w:pPr>
      <w:r w:rsidRPr="00B34CB4">
        <w:rPr>
          <w:rFonts w:ascii="Calibri Light" w:eastAsia="Calibri Light" w:hAnsi="Calibri Light" w:cs="Calibri Light"/>
          <w:b/>
          <w:bCs/>
          <w:lang w:val="fr-BE"/>
        </w:rPr>
        <w:t>Juste valeur</w:t>
      </w:r>
      <w:r w:rsidRPr="00B34CB4">
        <w:rPr>
          <w:b/>
          <w:vertAlign w:val="superscript"/>
          <w:lang w:val="fr-BE"/>
        </w:rPr>
        <w:footnoteReference w:id="4"/>
      </w:r>
      <w:r w:rsidRPr="00B34CB4">
        <w:rPr>
          <w:rFonts w:ascii="Calibri Light" w:eastAsia="Calibri Light" w:hAnsi="Calibri Light" w:cs="Calibri Light"/>
          <w:b/>
          <w:bCs/>
          <w:lang w:val="fr-BE"/>
        </w:rPr>
        <w:t xml:space="preserve"> du portefeuille immobilier</w:t>
      </w:r>
    </w:p>
    <w:p w14:paraId="7C1DF011" w14:textId="3528F6EC" w:rsidR="00CE5B2A" w:rsidRPr="00B34CB4" w:rsidRDefault="00B34CB4" w:rsidP="00214E77">
      <w:pPr>
        <w:ind w:left="462"/>
        <w:jc w:val="both"/>
        <w:rPr>
          <w:lang w:val="fr-BE"/>
        </w:rPr>
      </w:pPr>
      <w:r w:rsidRPr="00B34CB4">
        <w:rPr>
          <w:lang w:val="fr-BE"/>
        </w:rPr>
        <w:t>Au 30 juin 2022, la juste valeur du portefeuille immobilier (immobilisations corporelles en cours comprises) s’élève à 1 781 millions d’euros. En dépit de la pandémie de corona, nous constatons que la valeur d’investissement a de nouveau légèrement augmenté à périmètre constant (21,15 millions d’euros). La différence par rapport à la juste valeur au 31 mars 2022 (1 760 millions d’euros) fait tout simplement suite à la gestion active du portefeuille immobilier, avec des investissements et des désinvestissements au cours du premier trimestre ainsi que des reclassements vers le poste « biens immobiliers détenus en vue de la vente ».</w:t>
      </w:r>
    </w:p>
    <w:p w14:paraId="238FB82F" w14:textId="77777777" w:rsidR="00297931" w:rsidRPr="00B34CB4" w:rsidRDefault="00297931" w:rsidP="00214E77">
      <w:pPr>
        <w:ind w:left="360"/>
        <w:jc w:val="both"/>
        <w:rPr>
          <w:lang w:val="fr-BE"/>
        </w:rPr>
      </w:pPr>
    </w:p>
    <w:p w14:paraId="5B99AE3A" w14:textId="77777777" w:rsidR="00965203" w:rsidRPr="00B34CB4" w:rsidRDefault="00B34CB4" w:rsidP="00214E77">
      <w:pPr>
        <w:pStyle w:val="Lijstalinea"/>
        <w:widowControl/>
        <w:numPr>
          <w:ilvl w:val="1"/>
          <w:numId w:val="3"/>
        </w:numPr>
        <w:autoSpaceDE/>
        <w:autoSpaceDN/>
        <w:spacing w:after="160" w:line="259" w:lineRule="auto"/>
        <w:ind w:left="426" w:hanging="426"/>
        <w:contextualSpacing/>
        <w:jc w:val="both"/>
        <w:rPr>
          <w:rFonts w:ascii="Calibri Light" w:hAnsi="Calibri Light" w:cs="Calibri Light"/>
          <w:b/>
          <w:lang w:val="fr-BE"/>
        </w:rPr>
      </w:pPr>
      <w:r w:rsidRPr="00B34CB4">
        <w:rPr>
          <w:rFonts w:ascii="Calibri Light" w:eastAsia="Calibri Light" w:hAnsi="Calibri Light" w:cs="Calibri Light"/>
          <w:b/>
          <w:bCs/>
          <w:lang w:val="fr-BE"/>
        </w:rPr>
        <w:t>Investissements – parcs commerciaux</w:t>
      </w:r>
    </w:p>
    <w:p w14:paraId="31BDC807" w14:textId="77777777" w:rsidR="00965203" w:rsidRPr="00B34CB4" w:rsidRDefault="00965203" w:rsidP="00214E77">
      <w:pPr>
        <w:pStyle w:val="Lijstalinea"/>
        <w:ind w:left="360"/>
        <w:jc w:val="both"/>
        <w:rPr>
          <w:rFonts w:ascii="Calibri Light" w:hAnsi="Calibri Light" w:cs="Calibri Light"/>
          <w:u w:val="single"/>
          <w:lang w:val="fr-BE"/>
        </w:rPr>
      </w:pPr>
    </w:p>
    <w:p w14:paraId="58AF9007" w14:textId="77777777" w:rsidR="006614B8" w:rsidRPr="00B34CB4" w:rsidRDefault="00B34CB4" w:rsidP="00214E77">
      <w:pPr>
        <w:ind w:left="462"/>
        <w:jc w:val="both"/>
        <w:rPr>
          <w:lang w:val="fr-BE"/>
        </w:rPr>
      </w:pPr>
      <w:r w:rsidRPr="00B34CB4">
        <w:rPr>
          <w:lang w:val="fr-BE"/>
        </w:rPr>
        <w:t>Aucun investissement important n’a été réalisé durant le premier trimestre de l’exercice 2022-2023.</w:t>
      </w:r>
    </w:p>
    <w:p w14:paraId="6235546D" w14:textId="77777777" w:rsidR="00B708A9" w:rsidRPr="00B34CB4" w:rsidRDefault="00B708A9" w:rsidP="00214E77">
      <w:pPr>
        <w:ind w:left="462"/>
        <w:jc w:val="both"/>
        <w:rPr>
          <w:lang w:val="fr-BE"/>
        </w:rPr>
      </w:pPr>
    </w:p>
    <w:p w14:paraId="32F4CB6A" w14:textId="77777777" w:rsidR="00965203" w:rsidRPr="00B34CB4" w:rsidRDefault="00B34CB4" w:rsidP="00214E77">
      <w:pPr>
        <w:pStyle w:val="Lijstalinea"/>
        <w:widowControl/>
        <w:numPr>
          <w:ilvl w:val="1"/>
          <w:numId w:val="3"/>
        </w:numPr>
        <w:autoSpaceDE/>
        <w:autoSpaceDN/>
        <w:spacing w:after="160" w:line="259" w:lineRule="auto"/>
        <w:ind w:left="426" w:hanging="426"/>
        <w:contextualSpacing/>
        <w:jc w:val="both"/>
        <w:rPr>
          <w:rFonts w:ascii="Calibri Light" w:hAnsi="Calibri Light" w:cs="Calibri Light"/>
          <w:b/>
          <w:lang w:val="fr-BE"/>
        </w:rPr>
      </w:pPr>
      <w:r w:rsidRPr="00B34CB4">
        <w:rPr>
          <w:rFonts w:ascii="Calibri Light" w:eastAsia="Calibri Light" w:hAnsi="Calibri Light" w:cs="Calibri Light"/>
          <w:b/>
          <w:bCs/>
          <w:lang w:val="fr-BE"/>
        </w:rPr>
        <w:t>Désinvestissements</w:t>
      </w:r>
    </w:p>
    <w:p w14:paraId="742C77F9" w14:textId="77777777" w:rsidR="001A1849" w:rsidRPr="00B34CB4" w:rsidRDefault="00B34CB4" w:rsidP="00214E77">
      <w:pPr>
        <w:ind w:left="462"/>
        <w:jc w:val="both"/>
        <w:rPr>
          <w:lang w:val="fr-BE"/>
        </w:rPr>
      </w:pPr>
      <w:r w:rsidRPr="00B34CB4">
        <w:rPr>
          <w:lang w:val="fr-BE"/>
        </w:rPr>
        <w:t>Au cours du trimestre écoulé, un immeuble situé à Saint-Nicolas (Belgique), composé de deux immeubles commerciaux et deux appartements, a été vendu. Le produit net de ces ventes s’élevait à 2,40 million d’euros.  La juste valeur de ces immeubles s’élevait à 2,46 million d’euros.  Ces ventes ont entraîné une moins-value nette de 0,06 million d’euros.</w:t>
      </w:r>
    </w:p>
    <w:p w14:paraId="69037CD2" w14:textId="77777777" w:rsidR="00B708A9" w:rsidRPr="00B34CB4" w:rsidRDefault="00B708A9" w:rsidP="00175459">
      <w:pPr>
        <w:jc w:val="both"/>
        <w:rPr>
          <w:rFonts w:eastAsia="Calibri"/>
          <w:b/>
          <w:lang w:val="fr-BE"/>
        </w:rPr>
      </w:pPr>
    </w:p>
    <w:p w14:paraId="45D87DBF" w14:textId="77777777" w:rsidR="00965203" w:rsidRPr="00B34CB4" w:rsidRDefault="00B34CB4" w:rsidP="00214E77">
      <w:pPr>
        <w:pStyle w:val="Lijstalinea"/>
        <w:widowControl/>
        <w:numPr>
          <w:ilvl w:val="1"/>
          <w:numId w:val="3"/>
        </w:numPr>
        <w:autoSpaceDE/>
        <w:autoSpaceDN/>
        <w:spacing w:after="160" w:line="259" w:lineRule="auto"/>
        <w:ind w:left="426" w:hanging="426"/>
        <w:contextualSpacing/>
        <w:jc w:val="both"/>
        <w:rPr>
          <w:rFonts w:ascii="Calibri Light" w:hAnsi="Calibri Light" w:cs="Calibri Light"/>
          <w:b/>
          <w:lang w:val="fr-BE"/>
        </w:rPr>
      </w:pPr>
      <w:r w:rsidRPr="00B34CB4">
        <w:rPr>
          <w:rFonts w:ascii="Calibri Light" w:eastAsia="Calibri Light" w:hAnsi="Calibri Light" w:cs="Calibri Light"/>
          <w:b/>
          <w:bCs/>
          <w:lang w:val="fr-BE"/>
        </w:rPr>
        <w:t>Événements postérieurs à la date du bilan : investissement dans un parc commercial à Venlo</w:t>
      </w:r>
    </w:p>
    <w:p w14:paraId="1D5CF316" w14:textId="0290E923" w:rsidR="0087148E" w:rsidRPr="00B34CB4" w:rsidRDefault="00B34CB4" w:rsidP="00175459">
      <w:pPr>
        <w:ind w:left="462"/>
        <w:jc w:val="both"/>
        <w:rPr>
          <w:lang w:val="fr-BE"/>
        </w:rPr>
      </w:pPr>
      <w:r w:rsidRPr="00B34CB4">
        <w:rPr>
          <w:lang w:val="fr-BE"/>
        </w:rPr>
        <w:t>En date du 4 juillet 2022</w:t>
      </w:r>
      <w:r w:rsidRPr="00B34CB4">
        <w:rPr>
          <w:rStyle w:val="Voetnootmarkering"/>
          <w:lang w:val="fr-BE"/>
        </w:rPr>
        <w:footnoteReference w:id="5"/>
      </w:r>
      <w:r w:rsidRPr="00B34CB4">
        <w:rPr>
          <w:lang w:val="fr-BE"/>
        </w:rPr>
        <w:t xml:space="preserve">, Retail Estates a réalisé un investissement à concurrence de 35,71 millions d’euros dans l'acquisition d’une part de 90 % dans le parc commercial Tref Center à Venlo (Pays–Bas, province de Limbourg). Cet investissement a été réalisé en collaboration avec l’investisseur immobilier néerlandais </w:t>
      </w:r>
      <w:proofErr w:type="spellStart"/>
      <w:r w:rsidRPr="00B34CB4">
        <w:rPr>
          <w:lang w:val="fr-BE"/>
        </w:rPr>
        <w:t>Westpoort</w:t>
      </w:r>
      <w:proofErr w:type="spellEnd"/>
      <w:r w:rsidRPr="00B34CB4">
        <w:rPr>
          <w:lang w:val="fr-BE"/>
        </w:rPr>
        <w:t xml:space="preserve"> </w:t>
      </w:r>
      <w:proofErr w:type="spellStart"/>
      <w:r w:rsidRPr="00B34CB4">
        <w:rPr>
          <w:lang w:val="fr-BE"/>
        </w:rPr>
        <w:t>Vastgoed</w:t>
      </w:r>
      <w:proofErr w:type="spellEnd"/>
      <w:r w:rsidRPr="00B34CB4">
        <w:rPr>
          <w:lang w:val="fr-BE"/>
        </w:rPr>
        <w:t xml:space="preserve">, qui a en même temps acquis une part de 10 %.  </w:t>
      </w:r>
      <w:r w:rsidRPr="00B34CB4">
        <w:rPr>
          <w:lang w:val="fr-BE"/>
        </w:rPr>
        <w:br/>
      </w:r>
    </w:p>
    <w:p w14:paraId="11E65FA6" w14:textId="6DB6F9C9" w:rsidR="006B19EA" w:rsidRPr="00B34CB4" w:rsidRDefault="00B34CB4" w:rsidP="00214E77">
      <w:pPr>
        <w:ind w:left="462"/>
        <w:jc w:val="both"/>
        <w:rPr>
          <w:lang w:val="fr-BE"/>
        </w:rPr>
      </w:pPr>
      <w:r w:rsidRPr="00B34CB4">
        <w:rPr>
          <w:lang w:val="fr-BE"/>
        </w:rPr>
        <w:t>La part de Retail Estates dans la transaction s’élève à 35,71 millions d’euros et rapporte 2,52 millions d’euros de revenus locatifs, ce qui représente un rendement initial d’environ 7 %. Selon l’expert immobilier Cushman &amp; Wakefield, la valeur d’investissement de la part de Retail Estates s’élève à 35,5 millions d’euros, et la juste valeur à 32,83 millions d’euros.  À terme, tant l’extension de la part de Retail Estates dans le parc commercial Tref Center que la limitation de celle-ci sont des possibilités.</w:t>
      </w:r>
    </w:p>
    <w:p w14:paraId="4DF00FD0" w14:textId="77777777" w:rsidR="00703C63" w:rsidRPr="00B34CB4" w:rsidRDefault="00703C63" w:rsidP="00214E77">
      <w:pPr>
        <w:jc w:val="both"/>
        <w:rPr>
          <w:lang w:val="fr-BE"/>
        </w:rPr>
      </w:pPr>
    </w:p>
    <w:p w14:paraId="0D9B745C" w14:textId="77777777" w:rsidR="00965203" w:rsidRPr="00B34CB4" w:rsidRDefault="00965203" w:rsidP="00214E77">
      <w:pPr>
        <w:ind w:left="708"/>
        <w:jc w:val="both"/>
        <w:rPr>
          <w:lang w:val="fr-BE"/>
        </w:rPr>
      </w:pPr>
    </w:p>
    <w:p w14:paraId="1FCBA013" w14:textId="77777777" w:rsidR="00B708A9" w:rsidRPr="00B34CB4" w:rsidRDefault="00B708A9" w:rsidP="00214E77">
      <w:pPr>
        <w:ind w:left="708"/>
        <w:jc w:val="both"/>
        <w:rPr>
          <w:lang w:val="fr-BE"/>
        </w:rPr>
      </w:pPr>
    </w:p>
    <w:p w14:paraId="61C8CAA6" w14:textId="77777777" w:rsidR="00FF69C1" w:rsidRPr="00B34CB4" w:rsidRDefault="00B34CB4" w:rsidP="00175459">
      <w:pPr>
        <w:jc w:val="both"/>
        <w:rPr>
          <w:rFonts w:eastAsiaTheme="minorHAnsi"/>
          <w:b/>
          <w:color w:val="A89153"/>
          <w:sz w:val="24"/>
          <w:szCs w:val="24"/>
          <w:lang w:val="fr-BE" w:eastAsia="en-US" w:bidi="ar-SA"/>
        </w:rPr>
      </w:pPr>
      <w:r w:rsidRPr="00B34CB4">
        <w:rPr>
          <w:rFonts w:eastAsiaTheme="minorHAnsi"/>
          <w:b/>
          <w:color w:val="A89153"/>
          <w:sz w:val="24"/>
          <w:szCs w:val="24"/>
          <w:lang w:val="fr-BE" w:eastAsia="en-US" w:bidi="ar-SA"/>
        </w:rPr>
        <w:br w:type="page"/>
      </w:r>
    </w:p>
    <w:p w14:paraId="6F1322A9" w14:textId="77777777" w:rsidR="00965203" w:rsidRPr="00B34CB4" w:rsidRDefault="00B34CB4" w:rsidP="00214E77">
      <w:pPr>
        <w:widowControl/>
        <w:numPr>
          <w:ilvl w:val="0"/>
          <w:numId w:val="2"/>
        </w:numPr>
        <w:tabs>
          <w:tab w:val="left" w:pos="426"/>
        </w:tabs>
        <w:autoSpaceDE/>
        <w:autoSpaceDN/>
        <w:spacing w:before="52"/>
        <w:ind w:left="0" w:firstLine="0"/>
        <w:jc w:val="both"/>
        <w:rPr>
          <w:rFonts w:eastAsiaTheme="minorHAnsi"/>
          <w:b/>
          <w:color w:val="A89153"/>
          <w:sz w:val="24"/>
          <w:szCs w:val="24"/>
          <w:lang w:val="fr-BE" w:eastAsia="en-US" w:bidi="ar-SA"/>
        </w:rPr>
      </w:pPr>
      <w:r w:rsidRPr="00B34CB4">
        <w:rPr>
          <w:b/>
          <w:bCs/>
          <w:color w:val="A89153"/>
          <w:sz w:val="24"/>
          <w:szCs w:val="24"/>
          <w:lang w:val="fr-BE" w:eastAsia="en-US" w:bidi="ar-SA"/>
        </w:rPr>
        <w:lastRenderedPageBreak/>
        <w:t>CHIFFRES CLÉS AU 30 JUIN 2022</w:t>
      </w:r>
    </w:p>
    <w:p w14:paraId="4C259DDD" w14:textId="77777777" w:rsidR="008E7EC8" w:rsidRPr="00B34CB4" w:rsidRDefault="008E7EC8" w:rsidP="00214E77">
      <w:pPr>
        <w:widowControl/>
        <w:autoSpaceDE/>
        <w:autoSpaceDN/>
        <w:spacing w:after="160" w:line="259" w:lineRule="auto"/>
        <w:contextualSpacing/>
        <w:jc w:val="both"/>
        <w:rPr>
          <w:b/>
          <w:sz w:val="24"/>
          <w:szCs w:val="24"/>
          <w:lang w:val="fr-BE"/>
        </w:rPr>
      </w:pPr>
    </w:p>
    <w:p w14:paraId="5A25F37C" w14:textId="77777777" w:rsidR="00965203" w:rsidRPr="00B34CB4" w:rsidRDefault="00B34CB4" w:rsidP="00214E77">
      <w:pPr>
        <w:widowControl/>
        <w:numPr>
          <w:ilvl w:val="1"/>
          <w:numId w:val="2"/>
        </w:numPr>
        <w:tabs>
          <w:tab w:val="left" w:pos="434"/>
        </w:tabs>
        <w:autoSpaceDE/>
        <w:autoSpaceDN/>
        <w:spacing w:before="52"/>
        <w:ind w:hanging="792"/>
        <w:jc w:val="both"/>
        <w:rPr>
          <w:b/>
          <w:lang w:val="fr-BE"/>
        </w:rPr>
      </w:pPr>
      <w:r w:rsidRPr="00B34CB4">
        <w:rPr>
          <w:b/>
          <w:bCs/>
          <w:lang w:val="fr-BE"/>
        </w:rPr>
        <w:t>Résultat EPRA et résultat net</w:t>
      </w:r>
    </w:p>
    <w:p w14:paraId="7CFAD1D5" w14:textId="77777777" w:rsidR="00965203" w:rsidRPr="00B34CB4" w:rsidRDefault="00965203" w:rsidP="00214E77">
      <w:pPr>
        <w:tabs>
          <w:tab w:val="left" w:pos="1134"/>
        </w:tabs>
        <w:ind w:left="360" w:firstLine="66"/>
        <w:jc w:val="both"/>
        <w:rPr>
          <w:b/>
          <w:lang w:val="fr-BE"/>
        </w:rPr>
      </w:pPr>
    </w:p>
    <w:p w14:paraId="3D50C6E6" w14:textId="77777777" w:rsidR="00965203" w:rsidRPr="00B34CB4" w:rsidRDefault="00B34CB4" w:rsidP="00214E77">
      <w:pPr>
        <w:ind w:left="462"/>
        <w:jc w:val="both"/>
        <w:rPr>
          <w:lang w:val="fr-BE"/>
        </w:rPr>
      </w:pPr>
      <w:r w:rsidRPr="00B34CB4">
        <w:rPr>
          <w:lang w:val="fr-BE"/>
        </w:rPr>
        <w:t>Le résultat EPRA s’élevait au 30 juin 2022 à 18,59 millions d’euros contre 18,54 millions d’euros pour la période comparable de l’exercice 2021-2022. Le calcul du résultat EPRA par action tient compte du nombre moyen pondéré d’actions au 30 juin 2022, à savoir 13 377 551. Le résultat EPRA par action (sur la base du nombre moyen pondéré d’actions) s’élève à 1,39 euro au 30 juin 2022, contre 1,46 euro au 30 juin 2021 (sur la base du nombre moyen pondéré d’actions de l’époque qui était de 12 665 763). Cette baisse temporaire résulte de l’augmentation du capital à concurrence de 55 millions d’euros et de l’émission de 859 375 nouvelles actions.</w:t>
      </w:r>
      <w:r w:rsidRPr="00B34CB4">
        <w:rPr>
          <w:rStyle w:val="Voetnootmarkering"/>
          <w:lang w:val="fr-BE"/>
        </w:rPr>
        <w:footnoteReference w:id="6"/>
      </w:r>
    </w:p>
    <w:p w14:paraId="5EEB3C65" w14:textId="77777777" w:rsidR="00B708A9" w:rsidRPr="00B34CB4" w:rsidRDefault="00B708A9" w:rsidP="00214E77">
      <w:pPr>
        <w:ind w:left="462"/>
        <w:jc w:val="both"/>
        <w:rPr>
          <w:lang w:val="fr-BE"/>
        </w:rPr>
      </w:pPr>
    </w:p>
    <w:p w14:paraId="0178DC8A" w14:textId="2CDCFA43" w:rsidR="00965203" w:rsidRPr="00B34CB4" w:rsidRDefault="00B34CB4" w:rsidP="00214E77">
      <w:pPr>
        <w:ind w:left="462"/>
        <w:jc w:val="both"/>
        <w:rPr>
          <w:lang w:val="fr-BE"/>
        </w:rPr>
      </w:pPr>
      <w:bookmarkStart w:id="0" w:name="_Hlk520454444"/>
      <w:r w:rsidRPr="00B34CB4">
        <w:rPr>
          <w:lang w:val="fr-BE"/>
        </w:rPr>
        <w:t>Le résultat net au 30 juin 2022 s'élève à 60,07 millions d’euros et comprend le résultat EPRA (18,59 millions d’euros), la variation de la juste valeur des immeubles de placement (21,15 millions d’euros), le résultat des ventes (-0,06 million d’euros, voir ci-dessus), l</w:t>
      </w:r>
      <w:r w:rsidR="00D20946">
        <w:rPr>
          <w:lang w:val="fr-BE"/>
        </w:rPr>
        <w:t>’autre</w:t>
      </w:r>
      <w:r w:rsidRPr="00B34CB4">
        <w:rPr>
          <w:lang w:val="fr-BE"/>
        </w:rPr>
        <w:t xml:space="preserve"> résultat de</w:t>
      </w:r>
      <w:r w:rsidR="00D20946">
        <w:rPr>
          <w:lang w:val="fr-BE"/>
        </w:rPr>
        <w:t xml:space="preserve"> </w:t>
      </w:r>
      <w:r w:rsidRPr="00B34CB4">
        <w:rPr>
          <w:lang w:val="fr-BE"/>
        </w:rPr>
        <w:t>portefeuille immobilier (0,16 million d’euros) et la variation de la juste valeur des actifs et passifs financiers (20,55 millions d’euros). Afin de limiter le risque de taux d’intérêt sur le financement de ses investissements, Retail Estates a mis en place des couvertures (appelées « couvertures de flux de trésorerie ») très prudentes convertissant sur le long terme la dette à taux variable en dette à taux fixe. Il s'agit d'un résultat non réalisé et non cash.</w:t>
      </w:r>
    </w:p>
    <w:p w14:paraId="14B1588D" w14:textId="77777777" w:rsidR="00B708A9" w:rsidRPr="00B34CB4" w:rsidRDefault="00B708A9" w:rsidP="00214E77">
      <w:pPr>
        <w:ind w:left="462"/>
        <w:jc w:val="both"/>
        <w:rPr>
          <w:lang w:val="fr-BE"/>
        </w:rPr>
      </w:pPr>
    </w:p>
    <w:bookmarkEnd w:id="0"/>
    <w:p w14:paraId="729ED876" w14:textId="77777777" w:rsidR="00965203" w:rsidRPr="00B34CB4" w:rsidRDefault="00B34CB4" w:rsidP="00214E77">
      <w:pPr>
        <w:widowControl/>
        <w:numPr>
          <w:ilvl w:val="1"/>
          <w:numId w:val="2"/>
        </w:numPr>
        <w:tabs>
          <w:tab w:val="left" w:pos="434"/>
        </w:tabs>
        <w:autoSpaceDE/>
        <w:autoSpaceDN/>
        <w:spacing w:before="52"/>
        <w:ind w:hanging="792"/>
        <w:jc w:val="both"/>
        <w:rPr>
          <w:b/>
          <w:lang w:val="fr-BE"/>
        </w:rPr>
      </w:pPr>
      <w:r w:rsidRPr="00B34CB4">
        <w:rPr>
          <w:b/>
          <w:bCs/>
          <w:lang w:val="fr-BE"/>
        </w:rPr>
        <w:t>Coût moyen pondéré des intérêts</w:t>
      </w:r>
      <w:r w:rsidRPr="00B34CB4">
        <w:rPr>
          <w:b/>
          <w:vertAlign w:val="superscript"/>
          <w:lang w:val="fr-BE"/>
        </w:rPr>
        <w:footnoteReference w:id="7"/>
      </w:r>
    </w:p>
    <w:p w14:paraId="52E317E5" w14:textId="77777777" w:rsidR="00965203" w:rsidRPr="00B34CB4" w:rsidRDefault="00965203" w:rsidP="00214E77">
      <w:pPr>
        <w:tabs>
          <w:tab w:val="left" w:pos="1134"/>
        </w:tabs>
        <w:ind w:left="360"/>
        <w:jc w:val="both"/>
        <w:rPr>
          <w:b/>
          <w:lang w:val="fr-BE"/>
        </w:rPr>
      </w:pPr>
    </w:p>
    <w:p w14:paraId="6D189982" w14:textId="23EA426E" w:rsidR="002E2AE2" w:rsidRPr="00B34CB4" w:rsidRDefault="00B34CB4" w:rsidP="00214E77">
      <w:pPr>
        <w:ind w:left="462"/>
        <w:jc w:val="both"/>
        <w:rPr>
          <w:lang w:val="fr-BE"/>
        </w:rPr>
      </w:pPr>
      <w:r w:rsidRPr="00B34CB4">
        <w:rPr>
          <w:lang w:val="fr-BE"/>
        </w:rPr>
        <w:t xml:space="preserve">Le taux moyen pondéré des intérêts au 30 juin </w:t>
      </w:r>
      <w:r w:rsidRPr="00175459">
        <w:rPr>
          <w:lang w:val="fr-BE"/>
        </w:rPr>
        <w:t xml:space="preserve">2022 est de </w:t>
      </w:r>
      <w:r w:rsidR="00D86035" w:rsidRPr="00630624">
        <w:rPr>
          <w:lang w:val="fr-BE"/>
        </w:rPr>
        <w:t>1,96</w:t>
      </w:r>
      <w:r w:rsidRPr="00630624">
        <w:rPr>
          <w:lang w:val="fr-BE"/>
        </w:rPr>
        <w:t>%</w:t>
      </w:r>
      <w:r w:rsidRPr="00175459">
        <w:rPr>
          <w:lang w:val="fr-BE"/>
        </w:rPr>
        <w:t xml:space="preserve">, comparé à 1,95 % au 31 mars 2022 et à 1,99 % au 30 juin 2021, et découle de la composition modifiée du portefeuille de crédits suite à des rééchelonnements de crédits de l’exercice écoulé d’une part, et à la souscription de nouveaux crédits d’autre part. Retail Estates combine des crédits bilatéraux auprès de divers partenaires bancaires et des placements privés d’obligations auprès d’investisseurs institutionnels, ainsi qu’un papier commercial intégralement couvert par des lignes de back-up. La durée moyenne du portefeuille de crédits s’élève à </w:t>
      </w:r>
      <w:r w:rsidR="00D86035" w:rsidRPr="00630624">
        <w:rPr>
          <w:lang w:val="fr-BE"/>
        </w:rPr>
        <w:t>3,6</w:t>
      </w:r>
      <w:r w:rsidRPr="00175459">
        <w:rPr>
          <w:lang w:val="fr-BE"/>
        </w:rPr>
        <w:t xml:space="preserve"> ans.</w:t>
      </w:r>
    </w:p>
    <w:p w14:paraId="63C610F4" w14:textId="77777777" w:rsidR="0064387D" w:rsidRPr="00B34CB4" w:rsidRDefault="0064387D" w:rsidP="00214E77">
      <w:pPr>
        <w:tabs>
          <w:tab w:val="left" w:pos="1134"/>
        </w:tabs>
        <w:ind w:left="360"/>
        <w:jc w:val="both"/>
        <w:rPr>
          <w:lang w:val="fr-BE"/>
        </w:rPr>
      </w:pPr>
    </w:p>
    <w:p w14:paraId="40853CE1" w14:textId="77777777" w:rsidR="00965203" w:rsidRPr="00B34CB4" w:rsidRDefault="00B34CB4" w:rsidP="00214E77">
      <w:pPr>
        <w:widowControl/>
        <w:numPr>
          <w:ilvl w:val="1"/>
          <w:numId w:val="2"/>
        </w:numPr>
        <w:tabs>
          <w:tab w:val="left" w:pos="434"/>
        </w:tabs>
        <w:autoSpaceDE/>
        <w:autoSpaceDN/>
        <w:spacing w:before="52"/>
        <w:ind w:hanging="792"/>
        <w:jc w:val="both"/>
        <w:rPr>
          <w:b/>
          <w:lang w:val="fr-BE"/>
        </w:rPr>
      </w:pPr>
      <w:r w:rsidRPr="00B34CB4">
        <w:rPr>
          <w:b/>
          <w:bCs/>
          <w:lang w:val="fr-BE"/>
        </w:rPr>
        <w:t>Données par action</w:t>
      </w:r>
    </w:p>
    <w:p w14:paraId="527D4E37" w14:textId="77777777" w:rsidR="00965203" w:rsidRPr="00B34CB4" w:rsidRDefault="00965203" w:rsidP="00214E77">
      <w:pPr>
        <w:tabs>
          <w:tab w:val="left" w:pos="1134"/>
        </w:tabs>
        <w:ind w:left="360" w:firstLine="66"/>
        <w:jc w:val="both"/>
        <w:rPr>
          <w:b/>
          <w:lang w:val="fr-BE"/>
        </w:rPr>
      </w:pPr>
    </w:p>
    <w:tbl>
      <w:tblPr>
        <w:tblW w:w="4818" w:type="pct"/>
        <w:tblInd w:w="421"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CellMar>
          <w:left w:w="70" w:type="dxa"/>
          <w:right w:w="70" w:type="dxa"/>
        </w:tblCellMar>
        <w:tblLook w:val="04A0" w:firstRow="1" w:lastRow="0" w:firstColumn="1" w:lastColumn="0" w:noHBand="0" w:noVBand="1"/>
      </w:tblPr>
      <w:tblGrid>
        <w:gridCol w:w="5328"/>
        <w:gridCol w:w="1794"/>
        <w:gridCol w:w="1610"/>
      </w:tblGrid>
      <w:tr w:rsidR="00797F9B" w:rsidRPr="00B34CB4" w14:paraId="7707C9E1" w14:textId="77777777" w:rsidTr="006969A0">
        <w:trPr>
          <w:trHeight w:val="300"/>
        </w:trPr>
        <w:tc>
          <w:tcPr>
            <w:tcW w:w="3051" w:type="pct"/>
            <w:shd w:val="clear" w:color="auto" w:fill="auto"/>
            <w:noWrap/>
            <w:vAlign w:val="center"/>
            <w:hideMark/>
          </w:tcPr>
          <w:p w14:paraId="2C2E82F3" w14:textId="77777777" w:rsidR="00965203" w:rsidRPr="00B34CB4" w:rsidRDefault="00965203" w:rsidP="00214E77">
            <w:pPr>
              <w:jc w:val="both"/>
              <w:rPr>
                <w:rFonts w:eastAsia="Times New Roman"/>
                <w:b/>
                <w:bCs/>
                <w:color w:val="000000"/>
                <w:sz w:val="20"/>
                <w:szCs w:val="20"/>
                <w:lang w:val="fr-BE" w:eastAsia="nl-BE"/>
              </w:rPr>
            </w:pPr>
          </w:p>
        </w:tc>
        <w:tc>
          <w:tcPr>
            <w:tcW w:w="1027" w:type="pct"/>
            <w:shd w:val="clear" w:color="auto" w:fill="auto"/>
            <w:noWrap/>
            <w:vAlign w:val="center"/>
          </w:tcPr>
          <w:p w14:paraId="0F627E7F" w14:textId="77777777" w:rsidR="00965203" w:rsidRPr="00B34CB4" w:rsidRDefault="00B34CB4" w:rsidP="00175459">
            <w:pPr>
              <w:jc w:val="both"/>
              <w:rPr>
                <w:rFonts w:eastAsia="Times New Roman"/>
                <w:b/>
                <w:color w:val="000000"/>
                <w:lang w:val="fr-BE" w:eastAsia="nl-BE"/>
              </w:rPr>
            </w:pPr>
            <w:r w:rsidRPr="00B34CB4">
              <w:rPr>
                <w:b/>
                <w:bCs/>
                <w:color w:val="000000"/>
                <w:lang w:val="fr-BE" w:eastAsia="nl-BE"/>
              </w:rPr>
              <w:t>30.06.2022</w:t>
            </w:r>
          </w:p>
        </w:tc>
        <w:tc>
          <w:tcPr>
            <w:tcW w:w="922" w:type="pct"/>
            <w:shd w:val="clear" w:color="auto" w:fill="auto"/>
            <w:vAlign w:val="center"/>
          </w:tcPr>
          <w:p w14:paraId="509B75EC" w14:textId="77777777" w:rsidR="00965203" w:rsidRPr="00B34CB4" w:rsidRDefault="00B34CB4" w:rsidP="00175459">
            <w:pPr>
              <w:jc w:val="both"/>
              <w:rPr>
                <w:rFonts w:eastAsia="Times New Roman"/>
                <w:b/>
                <w:color w:val="000000"/>
                <w:lang w:val="fr-BE" w:eastAsia="nl-BE"/>
              </w:rPr>
            </w:pPr>
            <w:r w:rsidRPr="00B34CB4">
              <w:rPr>
                <w:b/>
                <w:bCs/>
                <w:color w:val="000000"/>
                <w:lang w:val="fr-BE" w:eastAsia="nl-BE"/>
              </w:rPr>
              <w:t>31.03.2022</w:t>
            </w:r>
          </w:p>
        </w:tc>
      </w:tr>
      <w:tr w:rsidR="00797F9B" w:rsidRPr="00B34CB4" w14:paraId="762DEF56" w14:textId="77777777" w:rsidTr="006969A0">
        <w:trPr>
          <w:trHeight w:val="300"/>
        </w:trPr>
        <w:tc>
          <w:tcPr>
            <w:tcW w:w="3051" w:type="pct"/>
            <w:shd w:val="clear" w:color="auto" w:fill="auto"/>
            <w:noWrap/>
            <w:vAlign w:val="center"/>
          </w:tcPr>
          <w:p w14:paraId="00D8B334" w14:textId="77777777" w:rsidR="00FF69C1" w:rsidRPr="00B34CB4" w:rsidRDefault="00FF69C1" w:rsidP="00214E77">
            <w:pPr>
              <w:jc w:val="both"/>
              <w:rPr>
                <w:rFonts w:eastAsia="Times New Roman"/>
                <w:b/>
                <w:bCs/>
                <w:color w:val="000000"/>
                <w:sz w:val="20"/>
                <w:szCs w:val="20"/>
                <w:lang w:val="fr-BE" w:eastAsia="nl-BE"/>
              </w:rPr>
            </w:pPr>
          </w:p>
        </w:tc>
        <w:tc>
          <w:tcPr>
            <w:tcW w:w="1027" w:type="pct"/>
            <w:shd w:val="clear" w:color="auto" w:fill="auto"/>
            <w:noWrap/>
            <w:vAlign w:val="center"/>
          </w:tcPr>
          <w:p w14:paraId="145F8C1D" w14:textId="77777777" w:rsidR="00FF69C1" w:rsidRPr="00B34CB4" w:rsidRDefault="00FF69C1" w:rsidP="00214E77">
            <w:pPr>
              <w:jc w:val="both"/>
              <w:rPr>
                <w:rFonts w:eastAsia="Times New Roman"/>
                <w:b/>
                <w:color w:val="000000"/>
                <w:lang w:val="fr-BE" w:eastAsia="nl-BE"/>
              </w:rPr>
            </w:pPr>
          </w:p>
        </w:tc>
        <w:tc>
          <w:tcPr>
            <w:tcW w:w="922" w:type="pct"/>
            <w:shd w:val="clear" w:color="auto" w:fill="auto"/>
            <w:vAlign w:val="center"/>
          </w:tcPr>
          <w:p w14:paraId="308EED2F" w14:textId="77777777" w:rsidR="00FF69C1" w:rsidRPr="00B34CB4" w:rsidRDefault="00FF69C1" w:rsidP="00214E77">
            <w:pPr>
              <w:jc w:val="both"/>
              <w:rPr>
                <w:rFonts w:eastAsia="Times New Roman"/>
                <w:b/>
                <w:color w:val="000000"/>
                <w:lang w:val="fr-BE" w:eastAsia="nl-BE"/>
              </w:rPr>
            </w:pPr>
          </w:p>
        </w:tc>
      </w:tr>
      <w:tr w:rsidR="00797F9B" w:rsidRPr="00B34CB4" w14:paraId="6D395469" w14:textId="77777777" w:rsidTr="006969A0">
        <w:trPr>
          <w:trHeight w:val="300"/>
        </w:trPr>
        <w:tc>
          <w:tcPr>
            <w:tcW w:w="3051" w:type="pct"/>
            <w:shd w:val="clear" w:color="auto" w:fill="auto"/>
            <w:noWrap/>
            <w:vAlign w:val="center"/>
          </w:tcPr>
          <w:p w14:paraId="5B43B4D5"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Nombre d’actions en circulation</w:t>
            </w:r>
          </w:p>
        </w:tc>
        <w:tc>
          <w:tcPr>
            <w:tcW w:w="1027" w:type="pct"/>
            <w:shd w:val="clear" w:color="auto" w:fill="auto"/>
            <w:noWrap/>
            <w:vAlign w:val="center"/>
          </w:tcPr>
          <w:p w14:paraId="4F7D37E7"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14 085 827</w:t>
            </w:r>
          </w:p>
        </w:tc>
        <w:tc>
          <w:tcPr>
            <w:tcW w:w="922" w:type="pct"/>
            <w:vAlign w:val="center"/>
          </w:tcPr>
          <w:p w14:paraId="11D681AC"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13 226 452</w:t>
            </w:r>
          </w:p>
        </w:tc>
      </w:tr>
      <w:tr w:rsidR="00797F9B" w:rsidRPr="00B34CB4" w14:paraId="6684AD23" w14:textId="77777777" w:rsidTr="006969A0">
        <w:trPr>
          <w:trHeight w:val="794"/>
        </w:trPr>
        <w:tc>
          <w:tcPr>
            <w:tcW w:w="3051" w:type="pct"/>
            <w:shd w:val="clear" w:color="auto" w:fill="auto"/>
            <w:noWrap/>
            <w:vAlign w:val="center"/>
          </w:tcPr>
          <w:p w14:paraId="4B683170"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Nombre moyen pondéré d’actions</w:t>
            </w:r>
          </w:p>
        </w:tc>
        <w:tc>
          <w:tcPr>
            <w:tcW w:w="1027" w:type="pct"/>
            <w:shd w:val="clear" w:color="auto" w:fill="auto"/>
            <w:noWrap/>
            <w:vAlign w:val="center"/>
          </w:tcPr>
          <w:p w14:paraId="773D61BD"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13 377 551</w:t>
            </w:r>
          </w:p>
        </w:tc>
        <w:tc>
          <w:tcPr>
            <w:tcW w:w="922" w:type="pct"/>
            <w:vAlign w:val="center"/>
          </w:tcPr>
          <w:p w14:paraId="08DB7784"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 xml:space="preserve">12 893 111 </w:t>
            </w:r>
          </w:p>
        </w:tc>
      </w:tr>
      <w:tr w:rsidR="00797F9B" w:rsidRPr="00B34CB4" w14:paraId="56EB2EBF" w14:textId="77777777" w:rsidTr="006969A0">
        <w:trPr>
          <w:trHeight w:val="300"/>
        </w:trPr>
        <w:tc>
          <w:tcPr>
            <w:tcW w:w="3051" w:type="pct"/>
            <w:shd w:val="clear" w:color="auto" w:fill="auto"/>
            <w:noWrap/>
            <w:vAlign w:val="center"/>
          </w:tcPr>
          <w:p w14:paraId="0AF2FBAC"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Valeur de l’actif net par action IFRS</w:t>
            </w:r>
            <w:r w:rsidRPr="00B34CB4">
              <w:rPr>
                <w:rStyle w:val="Voetnootmarkering"/>
                <w:rFonts w:eastAsia="Times New Roman"/>
                <w:color w:val="000000"/>
                <w:lang w:val="fr-BE" w:eastAsia="nl-BE"/>
              </w:rPr>
              <w:footnoteReference w:id="8"/>
            </w:r>
          </w:p>
        </w:tc>
        <w:tc>
          <w:tcPr>
            <w:tcW w:w="1027" w:type="pct"/>
            <w:shd w:val="clear" w:color="auto" w:fill="auto"/>
            <w:noWrap/>
            <w:vAlign w:val="center"/>
          </w:tcPr>
          <w:p w14:paraId="26ADB4CD"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73,57</w:t>
            </w:r>
          </w:p>
        </w:tc>
        <w:tc>
          <w:tcPr>
            <w:tcW w:w="922" w:type="pct"/>
            <w:vAlign w:val="center"/>
          </w:tcPr>
          <w:p w14:paraId="70FDE29A"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69,63</w:t>
            </w:r>
          </w:p>
        </w:tc>
      </w:tr>
      <w:tr w:rsidR="00797F9B" w:rsidRPr="00B34CB4" w14:paraId="55F950E0" w14:textId="77777777" w:rsidTr="006969A0">
        <w:trPr>
          <w:trHeight w:val="300"/>
        </w:trPr>
        <w:tc>
          <w:tcPr>
            <w:tcW w:w="3051" w:type="pct"/>
            <w:shd w:val="clear" w:color="auto" w:fill="auto"/>
            <w:noWrap/>
            <w:vAlign w:val="center"/>
          </w:tcPr>
          <w:p w14:paraId="176D3885"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EPRA VAN</w:t>
            </w:r>
            <w:r w:rsidRPr="00B34CB4">
              <w:rPr>
                <w:rStyle w:val="Voetnootmarkering"/>
                <w:rFonts w:eastAsia="Times New Roman"/>
                <w:color w:val="000000"/>
                <w:lang w:val="fr-BE" w:eastAsia="nl-BE"/>
              </w:rPr>
              <w:footnoteReference w:id="9"/>
            </w:r>
          </w:p>
        </w:tc>
        <w:tc>
          <w:tcPr>
            <w:tcW w:w="1027" w:type="pct"/>
            <w:shd w:val="clear" w:color="auto" w:fill="auto"/>
            <w:noWrap/>
            <w:vAlign w:val="center"/>
          </w:tcPr>
          <w:p w14:paraId="541E05B4" w14:textId="7D59964A" w:rsidR="00965203" w:rsidRPr="00B34CB4" w:rsidRDefault="00751974" w:rsidP="00175459">
            <w:pPr>
              <w:spacing w:line="312" w:lineRule="auto"/>
              <w:jc w:val="both"/>
              <w:rPr>
                <w:rFonts w:eastAsia="Times New Roman"/>
                <w:color w:val="000000"/>
                <w:lang w:val="fr-BE" w:eastAsia="nl-BE"/>
              </w:rPr>
            </w:pPr>
            <w:r>
              <w:rPr>
                <w:color w:val="000000"/>
                <w:lang w:val="fr-BE" w:eastAsia="nl-BE"/>
              </w:rPr>
              <w:t>70,79</w:t>
            </w:r>
          </w:p>
        </w:tc>
        <w:tc>
          <w:tcPr>
            <w:tcW w:w="922" w:type="pct"/>
            <w:vAlign w:val="center"/>
          </w:tcPr>
          <w:p w14:paraId="1ECDBDDC"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68,46</w:t>
            </w:r>
          </w:p>
        </w:tc>
      </w:tr>
      <w:tr w:rsidR="00797F9B" w:rsidRPr="00B34CB4" w14:paraId="3A0FB5A1" w14:textId="77777777" w:rsidTr="006969A0">
        <w:trPr>
          <w:trHeight w:val="300"/>
        </w:trPr>
        <w:tc>
          <w:tcPr>
            <w:tcW w:w="3051" w:type="pct"/>
            <w:shd w:val="clear" w:color="auto" w:fill="auto"/>
            <w:noWrap/>
            <w:vAlign w:val="center"/>
          </w:tcPr>
          <w:p w14:paraId="58A084CE" w14:textId="77777777" w:rsidR="007C40EE" w:rsidRPr="00B34CB4" w:rsidRDefault="00B34CB4" w:rsidP="00175459">
            <w:pPr>
              <w:spacing w:line="312" w:lineRule="auto"/>
              <w:jc w:val="both"/>
              <w:rPr>
                <w:rFonts w:eastAsia="Times New Roman"/>
                <w:color w:val="000000"/>
                <w:lang w:val="fr-BE" w:eastAsia="nl-BE"/>
              </w:rPr>
            </w:pPr>
            <w:r w:rsidRPr="00B34CB4">
              <w:rPr>
                <w:color w:val="000000"/>
                <w:lang w:val="fr-BE" w:eastAsia="nl-BE"/>
              </w:rPr>
              <w:t xml:space="preserve">Valeur de l’actif net par action (valeur d’investissement) hors dividende, hors juste valeur des instruments de couverture autorisés </w:t>
            </w:r>
          </w:p>
        </w:tc>
        <w:tc>
          <w:tcPr>
            <w:tcW w:w="1027" w:type="pct"/>
            <w:shd w:val="clear" w:color="auto" w:fill="auto"/>
            <w:noWrap/>
            <w:vAlign w:val="center"/>
          </w:tcPr>
          <w:p w14:paraId="2113AE1A" w14:textId="4DAE4AFE" w:rsidR="00965203" w:rsidRPr="00B34CB4" w:rsidRDefault="00751974" w:rsidP="00175459">
            <w:pPr>
              <w:spacing w:line="312" w:lineRule="auto"/>
              <w:jc w:val="both"/>
              <w:rPr>
                <w:rFonts w:eastAsia="Times New Roman"/>
                <w:color w:val="000000"/>
                <w:lang w:val="fr-BE" w:eastAsia="nl-BE"/>
              </w:rPr>
            </w:pPr>
            <w:r>
              <w:rPr>
                <w:color w:val="000000"/>
                <w:lang w:val="fr-BE" w:eastAsia="nl-BE"/>
              </w:rPr>
              <w:t>70,74</w:t>
            </w:r>
          </w:p>
        </w:tc>
        <w:tc>
          <w:tcPr>
            <w:tcW w:w="922" w:type="pct"/>
            <w:vAlign w:val="center"/>
          </w:tcPr>
          <w:p w14:paraId="0B0AD811"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69,67</w:t>
            </w:r>
          </w:p>
        </w:tc>
      </w:tr>
    </w:tbl>
    <w:p w14:paraId="22FD185F" w14:textId="77777777" w:rsidR="00751974" w:rsidRDefault="00751974">
      <w:r>
        <w:br w:type="page"/>
      </w:r>
    </w:p>
    <w:tbl>
      <w:tblPr>
        <w:tblW w:w="4818" w:type="pct"/>
        <w:tblInd w:w="421"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Layout w:type="fixed"/>
        <w:tblCellMar>
          <w:left w:w="70" w:type="dxa"/>
          <w:right w:w="70" w:type="dxa"/>
        </w:tblCellMar>
        <w:tblLook w:val="04A0" w:firstRow="1" w:lastRow="0" w:firstColumn="1" w:lastColumn="0" w:noHBand="0" w:noVBand="1"/>
      </w:tblPr>
      <w:tblGrid>
        <w:gridCol w:w="5328"/>
        <w:gridCol w:w="1794"/>
        <w:gridCol w:w="1610"/>
      </w:tblGrid>
      <w:tr w:rsidR="00797F9B" w:rsidRPr="00751974" w14:paraId="1776B814" w14:textId="77777777" w:rsidTr="006969A0">
        <w:trPr>
          <w:trHeight w:val="300"/>
        </w:trPr>
        <w:tc>
          <w:tcPr>
            <w:tcW w:w="3051" w:type="pct"/>
            <w:shd w:val="clear" w:color="auto" w:fill="auto"/>
            <w:noWrap/>
            <w:vAlign w:val="center"/>
          </w:tcPr>
          <w:p w14:paraId="0407784E" w14:textId="4155938E" w:rsidR="00965203" w:rsidRDefault="00751974" w:rsidP="00214E77">
            <w:pPr>
              <w:spacing w:line="312" w:lineRule="auto"/>
              <w:jc w:val="both"/>
              <w:rPr>
                <w:rFonts w:eastAsia="Times New Roman"/>
                <w:color w:val="000000"/>
                <w:lang w:val="fr-BE" w:eastAsia="nl-BE"/>
              </w:rPr>
            </w:pPr>
            <w:r w:rsidRPr="00175459">
              <w:rPr>
                <w:rFonts w:eastAsia="Times New Roman"/>
                <w:color w:val="000000"/>
                <w:lang w:val="fr-BE" w:eastAsia="nl-BE"/>
              </w:rPr>
              <w:lastRenderedPageBreak/>
              <w:t xml:space="preserve">PRO FORMA EPRA </w:t>
            </w:r>
            <w:r w:rsidR="00A41BAA">
              <w:rPr>
                <w:rFonts w:eastAsia="Times New Roman"/>
                <w:color w:val="000000"/>
                <w:lang w:val="fr-BE" w:eastAsia="nl-BE"/>
              </w:rPr>
              <w:t>VAN</w:t>
            </w:r>
            <w:r w:rsidRPr="00175459">
              <w:rPr>
                <w:rFonts w:eastAsia="Times New Roman"/>
                <w:color w:val="000000"/>
                <w:lang w:val="fr-BE" w:eastAsia="nl-BE"/>
              </w:rPr>
              <w:t xml:space="preserve"> après déduction du dividende 31/03/2022 payé le 25/07/2022</w:t>
            </w:r>
          </w:p>
          <w:p w14:paraId="07B7B6D6" w14:textId="195C4673" w:rsidR="00677789" w:rsidRPr="00175459" w:rsidRDefault="00677789" w:rsidP="00214E77">
            <w:pPr>
              <w:spacing w:line="312" w:lineRule="auto"/>
              <w:jc w:val="both"/>
              <w:rPr>
                <w:rFonts w:eastAsia="Times New Roman"/>
                <w:color w:val="000000"/>
                <w:lang w:val="fr-BE" w:eastAsia="nl-BE"/>
              </w:rPr>
            </w:pPr>
          </w:p>
        </w:tc>
        <w:tc>
          <w:tcPr>
            <w:tcW w:w="1027" w:type="pct"/>
            <w:shd w:val="clear" w:color="auto" w:fill="auto"/>
            <w:noWrap/>
            <w:vAlign w:val="center"/>
          </w:tcPr>
          <w:p w14:paraId="2DEDDEF3" w14:textId="1618A78D" w:rsidR="00965203" w:rsidRPr="00175459" w:rsidRDefault="00677789" w:rsidP="00175459">
            <w:pPr>
              <w:spacing w:line="312" w:lineRule="auto"/>
              <w:jc w:val="both"/>
              <w:rPr>
                <w:rFonts w:eastAsia="Times New Roman"/>
                <w:bCs/>
                <w:color w:val="000000"/>
                <w:lang w:val="fr-BE" w:eastAsia="nl-BE"/>
              </w:rPr>
            </w:pPr>
            <w:r w:rsidRPr="00175459">
              <w:rPr>
                <w:rFonts w:eastAsia="Times New Roman"/>
                <w:bCs/>
                <w:color w:val="000000"/>
                <w:lang w:val="fr-BE" w:eastAsia="nl-BE"/>
              </w:rPr>
              <w:t>66,19</w:t>
            </w:r>
          </w:p>
        </w:tc>
        <w:tc>
          <w:tcPr>
            <w:tcW w:w="922" w:type="pct"/>
            <w:shd w:val="clear" w:color="auto" w:fill="auto"/>
            <w:vAlign w:val="center"/>
          </w:tcPr>
          <w:p w14:paraId="198ED464" w14:textId="219ACF20" w:rsidR="00965203" w:rsidRPr="00175459" w:rsidRDefault="00677789" w:rsidP="00175459">
            <w:pPr>
              <w:spacing w:line="312" w:lineRule="auto"/>
              <w:jc w:val="both"/>
              <w:rPr>
                <w:rFonts w:eastAsia="Times New Roman"/>
                <w:bCs/>
                <w:color w:val="000000"/>
                <w:lang w:val="fr-BE" w:eastAsia="nl-BE"/>
              </w:rPr>
            </w:pPr>
            <w:r w:rsidRPr="00175459">
              <w:rPr>
                <w:rFonts w:eastAsia="Times New Roman"/>
                <w:bCs/>
                <w:color w:val="000000"/>
                <w:lang w:val="fr-BE" w:eastAsia="nl-BE"/>
              </w:rPr>
              <w:t>63,96</w:t>
            </w:r>
          </w:p>
        </w:tc>
      </w:tr>
      <w:tr w:rsidR="00751974" w:rsidRPr="00751974" w14:paraId="354832B6" w14:textId="77777777" w:rsidTr="006969A0">
        <w:trPr>
          <w:trHeight w:val="300"/>
        </w:trPr>
        <w:tc>
          <w:tcPr>
            <w:tcW w:w="3051" w:type="pct"/>
            <w:shd w:val="clear" w:color="auto" w:fill="auto"/>
            <w:noWrap/>
            <w:vAlign w:val="center"/>
          </w:tcPr>
          <w:p w14:paraId="68CE99DE" w14:textId="77777777" w:rsidR="00751974" w:rsidRPr="00751974" w:rsidRDefault="00751974" w:rsidP="00214E77">
            <w:pPr>
              <w:spacing w:line="312" w:lineRule="auto"/>
              <w:jc w:val="both"/>
              <w:rPr>
                <w:rFonts w:eastAsia="Times New Roman"/>
                <w:color w:val="000000"/>
                <w:lang w:val="fr-BE" w:eastAsia="nl-BE"/>
              </w:rPr>
            </w:pPr>
          </w:p>
        </w:tc>
        <w:tc>
          <w:tcPr>
            <w:tcW w:w="1027" w:type="pct"/>
            <w:shd w:val="clear" w:color="auto" w:fill="auto"/>
            <w:noWrap/>
            <w:vAlign w:val="center"/>
          </w:tcPr>
          <w:p w14:paraId="58F1B92E" w14:textId="77777777" w:rsidR="00751974" w:rsidRPr="00B34CB4" w:rsidRDefault="00751974">
            <w:pPr>
              <w:spacing w:line="312" w:lineRule="auto"/>
              <w:jc w:val="both"/>
              <w:rPr>
                <w:rFonts w:eastAsia="Times New Roman"/>
                <w:b/>
                <w:color w:val="000000"/>
                <w:lang w:val="fr-BE" w:eastAsia="nl-BE"/>
              </w:rPr>
            </w:pPr>
          </w:p>
        </w:tc>
        <w:tc>
          <w:tcPr>
            <w:tcW w:w="922" w:type="pct"/>
            <w:shd w:val="clear" w:color="auto" w:fill="auto"/>
            <w:vAlign w:val="center"/>
          </w:tcPr>
          <w:p w14:paraId="4C5A0A41" w14:textId="77777777" w:rsidR="00751974" w:rsidRPr="00B34CB4" w:rsidRDefault="00751974">
            <w:pPr>
              <w:spacing w:line="312" w:lineRule="auto"/>
              <w:jc w:val="both"/>
              <w:rPr>
                <w:rFonts w:eastAsia="Times New Roman"/>
                <w:b/>
                <w:color w:val="000000"/>
                <w:lang w:val="fr-BE" w:eastAsia="nl-BE"/>
              </w:rPr>
            </w:pPr>
          </w:p>
        </w:tc>
      </w:tr>
      <w:tr w:rsidR="00751974" w:rsidRPr="00751974" w14:paraId="08BD149F" w14:textId="77777777" w:rsidTr="006969A0">
        <w:trPr>
          <w:trHeight w:val="300"/>
        </w:trPr>
        <w:tc>
          <w:tcPr>
            <w:tcW w:w="3051" w:type="pct"/>
            <w:shd w:val="clear" w:color="auto" w:fill="auto"/>
            <w:noWrap/>
            <w:vAlign w:val="center"/>
          </w:tcPr>
          <w:p w14:paraId="526D3D58" w14:textId="77777777" w:rsidR="00751974" w:rsidRPr="00751974" w:rsidRDefault="00751974" w:rsidP="00214E77">
            <w:pPr>
              <w:spacing w:line="312" w:lineRule="auto"/>
              <w:jc w:val="both"/>
              <w:rPr>
                <w:rFonts w:eastAsia="Times New Roman"/>
                <w:color w:val="000000"/>
                <w:lang w:val="fr-BE" w:eastAsia="nl-BE"/>
              </w:rPr>
            </w:pPr>
          </w:p>
        </w:tc>
        <w:tc>
          <w:tcPr>
            <w:tcW w:w="1027" w:type="pct"/>
            <w:shd w:val="clear" w:color="auto" w:fill="auto"/>
            <w:noWrap/>
            <w:vAlign w:val="center"/>
          </w:tcPr>
          <w:p w14:paraId="43D749F6" w14:textId="16DAADA1" w:rsidR="00751974" w:rsidRPr="00B34CB4" w:rsidRDefault="00677789">
            <w:pPr>
              <w:spacing w:line="312" w:lineRule="auto"/>
              <w:jc w:val="both"/>
              <w:rPr>
                <w:rFonts w:eastAsia="Times New Roman"/>
                <w:b/>
                <w:color w:val="000000"/>
                <w:lang w:val="fr-BE" w:eastAsia="nl-BE"/>
              </w:rPr>
            </w:pPr>
            <w:r>
              <w:rPr>
                <w:rFonts w:eastAsia="Times New Roman"/>
                <w:b/>
                <w:color w:val="000000"/>
                <w:lang w:val="fr-BE" w:eastAsia="nl-BE"/>
              </w:rPr>
              <w:t>30.06.2022</w:t>
            </w:r>
          </w:p>
        </w:tc>
        <w:tc>
          <w:tcPr>
            <w:tcW w:w="922" w:type="pct"/>
            <w:shd w:val="clear" w:color="auto" w:fill="auto"/>
            <w:vAlign w:val="center"/>
          </w:tcPr>
          <w:p w14:paraId="353D38E9" w14:textId="74AAD977" w:rsidR="00751974" w:rsidRPr="00B34CB4" w:rsidRDefault="00677789">
            <w:pPr>
              <w:spacing w:line="312" w:lineRule="auto"/>
              <w:jc w:val="both"/>
              <w:rPr>
                <w:rFonts w:eastAsia="Times New Roman"/>
                <w:b/>
                <w:color w:val="000000"/>
                <w:lang w:val="fr-BE" w:eastAsia="nl-BE"/>
              </w:rPr>
            </w:pPr>
            <w:r>
              <w:rPr>
                <w:rFonts w:eastAsia="Times New Roman"/>
                <w:b/>
                <w:color w:val="000000"/>
                <w:lang w:val="fr-BE" w:eastAsia="nl-BE"/>
              </w:rPr>
              <w:t>30.06.202</w:t>
            </w:r>
            <w:r w:rsidR="00A41BAA">
              <w:rPr>
                <w:rFonts w:eastAsia="Times New Roman"/>
                <w:b/>
                <w:color w:val="000000"/>
                <w:lang w:val="fr-BE" w:eastAsia="nl-BE"/>
              </w:rPr>
              <w:t>1</w:t>
            </w:r>
          </w:p>
        </w:tc>
      </w:tr>
      <w:tr w:rsidR="00797F9B" w:rsidRPr="00B34CB4" w14:paraId="3524EFE9" w14:textId="77777777" w:rsidTr="006969A0">
        <w:trPr>
          <w:trHeight w:val="300"/>
        </w:trPr>
        <w:tc>
          <w:tcPr>
            <w:tcW w:w="3051" w:type="pct"/>
            <w:shd w:val="clear" w:color="auto" w:fill="auto"/>
            <w:noWrap/>
            <w:vAlign w:val="center"/>
          </w:tcPr>
          <w:p w14:paraId="40809023"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Résultat EPRA par action (sur la base du nombre moyen pondéré d’actions)</w:t>
            </w:r>
          </w:p>
        </w:tc>
        <w:tc>
          <w:tcPr>
            <w:tcW w:w="1027" w:type="pct"/>
            <w:shd w:val="clear" w:color="auto" w:fill="auto"/>
            <w:noWrap/>
            <w:vAlign w:val="center"/>
          </w:tcPr>
          <w:p w14:paraId="1F266363"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1,39</w:t>
            </w:r>
          </w:p>
        </w:tc>
        <w:tc>
          <w:tcPr>
            <w:tcW w:w="922" w:type="pct"/>
            <w:vAlign w:val="center"/>
          </w:tcPr>
          <w:p w14:paraId="1EBF8A2F" w14:textId="5BD04687" w:rsidR="00965203" w:rsidRPr="00B34CB4" w:rsidRDefault="00677789" w:rsidP="00175459">
            <w:pPr>
              <w:spacing w:line="312" w:lineRule="auto"/>
              <w:jc w:val="both"/>
              <w:rPr>
                <w:rFonts w:eastAsia="Times New Roman"/>
                <w:color w:val="000000"/>
                <w:lang w:val="fr-BE" w:eastAsia="nl-BE"/>
              </w:rPr>
            </w:pPr>
            <w:r>
              <w:rPr>
                <w:color w:val="000000"/>
                <w:lang w:val="fr-BE" w:eastAsia="nl-BE"/>
              </w:rPr>
              <w:t>1,46</w:t>
            </w:r>
          </w:p>
        </w:tc>
      </w:tr>
      <w:tr w:rsidR="00797F9B" w:rsidRPr="00B34CB4" w14:paraId="38B4D375" w14:textId="77777777" w:rsidTr="006969A0">
        <w:trPr>
          <w:trHeight w:val="300"/>
        </w:trPr>
        <w:tc>
          <w:tcPr>
            <w:tcW w:w="3051" w:type="pct"/>
            <w:shd w:val="clear" w:color="auto" w:fill="auto"/>
            <w:noWrap/>
            <w:vAlign w:val="center"/>
          </w:tcPr>
          <w:p w14:paraId="65149861"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Résultat EPRA par action (sur la base du nombre d’actions donnant droit à dividende)</w:t>
            </w:r>
          </w:p>
        </w:tc>
        <w:tc>
          <w:tcPr>
            <w:tcW w:w="1027" w:type="pct"/>
            <w:shd w:val="clear" w:color="auto" w:fill="auto"/>
            <w:noWrap/>
            <w:vAlign w:val="center"/>
          </w:tcPr>
          <w:p w14:paraId="6226C02A" w14:textId="77777777" w:rsidR="00965203" w:rsidRPr="00B34CB4" w:rsidRDefault="00B34CB4" w:rsidP="00175459">
            <w:pPr>
              <w:spacing w:line="312" w:lineRule="auto"/>
              <w:jc w:val="both"/>
              <w:rPr>
                <w:rFonts w:eastAsia="Times New Roman"/>
                <w:color w:val="000000"/>
                <w:lang w:val="fr-BE" w:eastAsia="nl-BE"/>
              </w:rPr>
            </w:pPr>
            <w:r w:rsidRPr="00B34CB4">
              <w:rPr>
                <w:color w:val="000000"/>
                <w:lang w:val="fr-BE" w:eastAsia="nl-BE"/>
              </w:rPr>
              <w:t>1,32</w:t>
            </w:r>
          </w:p>
        </w:tc>
        <w:tc>
          <w:tcPr>
            <w:tcW w:w="922" w:type="pct"/>
            <w:shd w:val="clear" w:color="auto" w:fill="auto"/>
            <w:vAlign w:val="center"/>
          </w:tcPr>
          <w:p w14:paraId="03A6FFED" w14:textId="7B59AD28" w:rsidR="00965203" w:rsidRPr="00B34CB4" w:rsidRDefault="00677789" w:rsidP="00175459">
            <w:pPr>
              <w:spacing w:line="312" w:lineRule="auto"/>
              <w:jc w:val="both"/>
              <w:rPr>
                <w:rFonts w:eastAsia="Times New Roman"/>
                <w:color w:val="000000"/>
                <w:lang w:val="fr-BE" w:eastAsia="nl-BE"/>
              </w:rPr>
            </w:pPr>
            <w:r>
              <w:rPr>
                <w:color w:val="000000"/>
                <w:lang w:val="fr-BE" w:eastAsia="nl-BE"/>
              </w:rPr>
              <w:t>1,46</w:t>
            </w:r>
          </w:p>
        </w:tc>
      </w:tr>
    </w:tbl>
    <w:p w14:paraId="0C20F75D" w14:textId="77777777" w:rsidR="00794B37" w:rsidRPr="00B34CB4" w:rsidRDefault="00794B37" w:rsidP="00214E77">
      <w:pPr>
        <w:tabs>
          <w:tab w:val="left" w:pos="1134"/>
        </w:tabs>
        <w:ind w:left="360" w:firstLine="66"/>
        <w:jc w:val="both"/>
        <w:rPr>
          <w:b/>
          <w:lang w:val="fr-BE"/>
        </w:rPr>
      </w:pPr>
    </w:p>
    <w:p w14:paraId="67BE65AD" w14:textId="77777777" w:rsidR="00965203" w:rsidRPr="00B34CB4" w:rsidRDefault="00B34CB4" w:rsidP="00214E77">
      <w:pPr>
        <w:widowControl/>
        <w:numPr>
          <w:ilvl w:val="1"/>
          <w:numId w:val="2"/>
        </w:numPr>
        <w:tabs>
          <w:tab w:val="left" w:pos="434"/>
        </w:tabs>
        <w:autoSpaceDE/>
        <w:autoSpaceDN/>
        <w:spacing w:before="52"/>
        <w:ind w:hanging="792"/>
        <w:jc w:val="both"/>
        <w:rPr>
          <w:b/>
          <w:lang w:val="fr-BE"/>
        </w:rPr>
      </w:pPr>
      <w:r w:rsidRPr="00B34CB4">
        <w:rPr>
          <w:b/>
          <w:bCs/>
          <w:lang w:val="fr-BE"/>
        </w:rPr>
        <w:t>Taux d’endettement</w:t>
      </w:r>
    </w:p>
    <w:p w14:paraId="0E4F9536" w14:textId="77777777" w:rsidR="00965203" w:rsidRPr="00B34CB4" w:rsidRDefault="00965203" w:rsidP="00214E77">
      <w:pPr>
        <w:tabs>
          <w:tab w:val="left" w:pos="1134"/>
        </w:tabs>
        <w:ind w:left="360" w:firstLine="66"/>
        <w:jc w:val="both"/>
        <w:rPr>
          <w:b/>
          <w:lang w:val="fr-BE"/>
        </w:rPr>
      </w:pPr>
    </w:p>
    <w:p w14:paraId="1E1BF9A8" w14:textId="77777777" w:rsidR="00965203" w:rsidRPr="00B34CB4" w:rsidRDefault="00B34CB4" w:rsidP="00214E77">
      <w:pPr>
        <w:ind w:left="462"/>
        <w:jc w:val="both"/>
        <w:rPr>
          <w:lang w:val="fr-BE"/>
        </w:rPr>
      </w:pPr>
      <w:r w:rsidRPr="00B34CB4">
        <w:rPr>
          <w:lang w:val="fr-BE"/>
        </w:rPr>
        <w:t xml:space="preserve">Le taux d’endettement au 30 juin 2022 est de 45,43 %, comparé à 49,15 % au 31 mars 2022. </w:t>
      </w:r>
    </w:p>
    <w:p w14:paraId="32456EFC" w14:textId="279A9371" w:rsidR="00965203" w:rsidRPr="00B34CB4" w:rsidRDefault="00B34CB4" w:rsidP="00214E77">
      <w:pPr>
        <w:ind w:left="462"/>
        <w:jc w:val="both"/>
        <w:rPr>
          <w:lang w:val="fr-BE"/>
        </w:rPr>
      </w:pPr>
      <w:r w:rsidRPr="00B34CB4">
        <w:rPr>
          <w:lang w:val="fr-BE"/>
        </w:rPr>
        <w:t>L</w:t>
      </w:r>
      <w:r w:rsidR="00677789">
        <w:rPr>
          <w:lang w:val="fr-BE"/>
        </w:rPr>
        <w:t>a diminution du</w:t>
      </w:r>
      <w:r w:rsidR="00175459">
        <w:rPr>
          <w:lang w:val="fr-BE"/>
        </w:rPr>
        <w:t xml:space="preserve"> </w:t>
      </w:r>
      <w:r w:rsidRPr="00B34CB4">
        <w:rPr>
          <w:lang w:val="fr-BE"/>
        </w:rPr>
        <w:t>taux d’endettement au 30 juin 2022</w:t>
      </w:r>
      <w:r w:rsidR="00677789">
        <w:rPr>
          <w:lang w:val="fr-BE"/>
        </w:rPr>
        <w:t xml:space="preserve"> est </w:t>
      </w:r>
      <w:r w:rsidR="00A41BAA">
        <w:rPr>
          <w:lang w:val="fr-BE"/>
        </w:rPr>
        <w:t>la conséquence de</w:t>
      </w:r>
      <w:r w:rsidR="00677789">
        <w:rPr>
          <w:lang w:val="fr-BE"/>
        </w:rPr>
        <w:t xml:space="preserve"> </w:t>
      </w:r>
      <w:r w:rsidRPr="00B34CB4">
        <w:rPr>
          <w:lang w:val="fr-BE"/>
        </w:rPr>
        <w:t>l’augmentation du capital à concurrence de 55 millions d’euros réalisé le 14 juin 2022, dont le produit sera en principe investi au cours de l’exercice.</w:t>
      </w:r>
    </w:p>
    <w:p w14:paraId="2CBF81EE" w14:textId="77777777" w:rsidR="00B708A9" w:rsidRPr="00B34CB4" w:rsidRDefault="00B708A9" w:rsidP="00214E77">
      <w:pPr>
        <w:tabs>
          <w:tab w:val="left" w:pos="1134"/>
        </w:tabs>
        <w:ind w:left="360"/>
        <w:jc w:val="both"/>
        <w:rPr>
          <w:lang w:val="fr-BE"/>
        </w:rPr>
      </w:pPr>
    </w:p>
    <w:p w14:paraId="49E84CC5" w14:textId="77777777" w:rsidR="00B708A9" w:rsidRPr="00B34CB4" w:rsidRDefault="00B708A9" w:rsidP="00214E77">
      <w:pPr>
        <w:tabs>
          <w:tab w:val="left" w:pos="1134"/>
        </w:tabs>
        <w:ind w:left="360"/>
        <w:jc w:val="both"/>
        <w:rPr>
          <w:lang w:val="fr-BE"/>
        </w:rPr>
      </w:pPr>
    </w:p>
    <w:p w14:paraId="6FD5FC14" w14:textId="77777777" w:rsidR="00965203" w:rsidRPr="00B34CB4" w:rsidRDefault="00B34CB4" w:rsidP="00214E77">
      <w:pPr>
        <w:widowControl/>
        <w:numPr>
          <w:ilvl w:val="0"/>
          <w:numId w:val="2"/>
        </w:numPr>
        <w:tabs>
          <w:tab w:val="left" w:pos="426"/>
        </w:tabs>
        <w:autoSpaceDE/>
        <w:autoSpaceDN/>
        <w:spacing w:before="52"/>
        <w:ind w:left="0" w:firstLine="0"/>
        <w:jc w:val="both"/>
        <w:rPr>
          <w:rFonts w:eastAsiaTheme="minorHAnsi"/>
          <w:b/>
          <w:color w:val="A89153"/>
          <w:sz w:val="24"/>
          <w:szCs w:val="24"/>
          <w:lang w:val="fr-BE" w:eastAsia="en-US" w:bidi="ar-SA"/>
        </w:rPr>
      </w:pPr>
      <w:r w:rsidRPr="00B34CB4">
        <w:rPr>
          <w:b/>
          <w:bCs/>
          <w:color w:val="A89153"/>
          <w:sz w:val="24"/>
          <w:szCs w:val="24"/>
          <w:lang w:val="fr-BE" w:eastAsia="en-US" w:bidi="ar-SA"/>
        </w:rPr>
        <w:t>PERSPECTIVES</w:t>
      </w:r>
    </w:p>
    <w:p w14:paraId="7F347549" w14:textId="77777777" w:rsidR="00B708A9" w:rsidRPr="00B34CB4" w:rsidRDefault="00B708A9" w:rsidP="00214E77">
      <w:pPr>
        <w:widowControl/>
        <w:tabs>
          <w:tab w:val="left" w:pos="426"/>
        </w:tabs>
        <w:autoSpaceDE/>
        <w:autoSpaceDN/>
        <w:spacing w:before="52"/>
        <w:jc w:val="both"/>
        <w:rPr>
          <w:rFonts w:eastAsiaTheme="minorHAnsi"/>
          <w:b/>
          <w:color w:val="A89153"/>
          <w:sz w:val="24"/>
          <w:szCs w:val="24"/>
          <w:lang w:val="fr-BE" w:eastAsia="en-US" w:bidi="ar-SA"/>
        </w:rPr>
      </w:pPr>
    </w:p>
    <w:p w14:paraId="1A8472A0" w14:textId="77777777" w:rsidR="00965203" w:rsidRPr="00B34CB4" w:rsidRDefault="00B34CB4" w:rsidP="00214E77">
      <w:pPr>
        <w:ind w:left="462"/>
        <w:jc w:val="both"/>
        <w:rPr>
          <w:lang w:val="fr-BE"/>
        </w:rPr>
      </w:pPr>
      <w:r w:rsidRPr="00B34CB4">
        <w:rPr>
          <w:lang w:val="fr-BE"/>
        </w:rPr>
        <w:t>Les incertitudes d’ordre macro-économique ne permettent pas de se prononcer sur l’évolution de la juste valeur des immeubles de placement, ni sur les variations de la juste valeur des instruments de couverture des taux. L’évolution de la valeur intrinsèque de l’action étant sensible aux éléments précités, celle-ci est aussi incertaine.</w:t>
      </w:r>
    </w:p>
    <w:p w14:paraId="662E1666" w14:textId="77777777" w:rsidR="00065557" w:rsidRPr="00B34CB4" w:rsidRDefault="00065557" w:rsidP="00214E77">
      <w:pPr>
        <w:ind w:left="462"/>
        <w:jc w:val="both"/>
        <w:rPr>
          <w:lang w:val="fr-BE"/>
        </w:rPr>
      </w:pPr>
    </w:p>
    <w:p w14:paraId="50F12889" w14:textId="370D192F" w:rsidR="004747DC" w:rsidRPr="00B34CB4" w:rsidRDefault="00B34CB4" w:rsidP="00214E77">
      <w:pPr>
        <w:ind w:left="462"/>
        <w:jc w:val="both"/>
        <w:rPr>
          <w:lang w:val="fr-BE"/>
        </w:rPr>
      </w:pPr>
      <w:r w:rsidRPr="00B34CB4">
        <w:rPr>
          <w:lang w:val="fr-BE"/>
        </w:rPr>
        <w:t>La prévision de dividende est maintenue à 4,70 euros brut par action.</w:t>
      </w:r>
    </w:p>
    <w:p w14:paraId="4EACFE5D" w14:textId="77777777" w:rsidR="004747DC" w:rsidRPr="00B34CB4" w:rsidRDefault="004747DC" w:rsidP="00214E77">
      <w:pPr>
        <w:ind w:left="462"/>
        <w:jc w:val="both"/>
        <w:rPr>
          <w:lang w:val="fr-BE"/>
        </w:rPr>
      </w:pPr>
    </w:p>
    <w:p w14:paraId="5DA71385" w14:textId="77777777" w:rsidR="00FF69C1" w:rsidRPr="00B34CB4" w:rsidRDefault="00FF69C1" w:rsidP="00214E77">
      <w:pPr>
        <w:ind w:left="462"/>
        <w:jc w:val="both"/>
        <w:rPr>
          <w:lang w:val="fr-BE"/>
        </w:rPr>
      </w:pPr>
    </w:p>
    <w:p w14:paraId="6DA4B812" w14:textId="77777777" w:rsidR="00965203" w:rsidRPr="00B34CB4" w:rsidRDefault="00B34CB4" w:rsidP="00214E77">
      <w:pPr>
        <w:widowControl/>
        <w:numPr>
          <w:ilvl w:val="0"/>
          <w:numId w:val="2"/>
        </w:numPr>
        <w:tabs>
          <w:tab w:val="left" w:pos="426"/>
        </w:tabs>
        <w:autoSpaceDE/>
        <w:autoSpaceDN/>
        <w:spacing w:before="52"/>
        <w:ind w:left="0" w:firstLine="0"/>
        <w:jc w:val="both"/>
        <w:rPr>
          <w:rFonts w:eastAsiaTheme="minorHAnsi"/>
          <w:b/>
          <w:color w:val="A89153"/>
          <w:sz w:val="24"/>
          <w:szCs w:val="24"/>
          <w:lang w:val="fr-BE" w:eastAsia="en-US" w:bidi="ar-SA"/>
        </w:rPr>
      </w:pPr>
      <w:r w:rsidRPr="00B34CB4">
        <w:rPr>
          <w:b/>
          <w:bCs/>
          <w:color w:val="A89153"/>
          <w:sz w:val="24"/>
          <w:szCs w:val="24"/>
          <w:lang w:val="fr-BE" w:eastAsia="en-US" w:bidi="ar-SA"/>
        </w:rPr>
        <w:t>CALENDRIER FINANCIER</w:t>
      </w:r>
    </w:p>
    <w:p w14:paraId="633673D0" w14:textId="77777777" w:rsidR="00965203" w:rsidRPr="00B34CB4" w:rsidRDefault="00965203" w:rsidP="00214E77">
      <w:pPr>
        <w:pStyle w:val="Lijstalinea"/>
        <w:ind w:left="360"/>
        <w:jc w:val="both"/>
        <w:rPr>
          <w:rFonts w:ascii="Calibri Light" w:hAnsi="Calibri Light" w:cs="Calibri Light"/>
          <w:lang w:val="fr-BE"/>
        </w:rPr>
      </w:pPr>
    </w:p>
    <w:tbl>
      <w:tblPr>
        <w:tblW w:w="4862" w:type="pct"/>
        <w:tblInd w:w="392" w:type="dxa"/>
        <w:tblLayout w:type="fixed"/>
        <w:tblCellMar>
          <w:left w:w="70" w:type="dxa"/>
          <w:right w:w="70" w:type="dxa"/>
        </w:tblCellMar>
        <w:tblLook w:val="04A0" w:firstRow="1" w:lastRow="0" w:firstColumn="1" w:lastColumn="0" w:noHBand="0" w:noVBand="1"/>
      </w:tblPr>
      <w:tblGrid>
        <w:gridCol w:w="6839"/>
        <w:gridCol w:w="1983"/>
      </w:tblGrid>
      <w:tr w:rsidR="00797F9B" w:rsidRPr="00B34CB4" w14:paraId="224AED28" w14:textId="77777777" w:rsidTr="00175459">
        <w:trPr>
          <w:trHeight w:val="300"/>
        </w:trPr>
        <w:tc>
          <w:tcPr>
            <w:tcW w:w="3876" w:type="pct"/>
            <w:shd w:val="clear" w:color="auto" w:fill="auto"/>
            <w:noWrap/>
            <w:vAlign w:val="center"/>
          </w:tcPr>
          <w:p w14:paraId="3B05D458" w14:textId="77777777" w:rsidR="00965203" w:rsidRPr="00B34CB4" w:rsidRDefault="00B34CB4" w:rsidP="00214E77">
            <w:pPr>
              <w:spacing w:line="312" w:lineRule="auto"/>
              <w:jc w:val="both"/>
              <w:rPr>
                <w:rFonts w:eastAsia="Times New Roman"/>
                <w:color w:val="000000"/>
                <w:lang w:val="fr-BE" w:eastAsia="nl-BE"/>
              </w:rPr>
            </w:pPr>
            <w:r w:rsidRPr="00B34CB4">
              <w:rPr>
                <w:color w:val="000000"/>
                <w:lang w:val="fr-BE" w:eastAsia="nl-BE"/>
              </w:rPr>
              <w:t>Publication des résultats semestriels de l’exercice 2022-2023</w:t>
            </w:r>
          </w:p>
        </w:tc>
        <w:tc>
          <w:tcPr>
            <w:tcW w:w="1124" w:type="pct"/>
            <w:shd w:val="clear" w:color="auto" w:fill="auto"/>
            <w:noWrap/>
            <w:vAlign w:val="center"/>
          </w:tcPr>
          <w:p w14:paraId="69B00F61" w14:textId="77777777" w:rsidR="00965203" w:rsidRPr="00B34CB4" w:rsidRDefault="00B34CB4" w:rsidP="00214E77">
            <w:pPr>
              <w:spacing w:line="312" w:lineRule="auto"/>
              <w:jc w:val="both"/>
              <w:rPr>
                <w:rFonts w:eastAsia="Times New Roman"/>
                <w:color w:val="000000"/>
                <w:lang w:val="fr-BE" w:eastAsia="nl-BE"/>
              </w:rPr>
            </w:pPr>
            <w:r w:rsidRPr="00B34CB4">
              <w:rPr>
                <w:color w:val="000000"/>
                <w:lang w:val="fr-BE" w:eastAsia="nl-BE"/>
              </w:rPr>
              <w:t>21 novembre 2022</w:t>
            </w:r>
          </w:p>
        </w:tc>
      </w:tr>
      <w:tr w:rsidR="00797F9B" w:rsidRPr="00B34CB4" w14:paraId="532F8871" w14:textId="77777777" w:rsidTr="00175459">
        <w:trPr>
          <w:trHeight w:val="300"/>
        </w:trPr>
        <w:tc>
          <w:tcPr>
            <w:tcW w:w="3876" w:type="pct"/>
            <w:shd w:val="clear" w:color="auto" w:fill="auto"/>
            <w:noWrap/>
            <w:vAlign w:val="center"/>
          </w:tcPr>
          <w:p w14:paraId="2F78E71B" w14:textId="77777777" w:rsidR="00965203" w:rsidRPr="00B34CB4" w:rsidRDefault="00B34CB4" w:rsidP="00214E77">
            <w:pPr>
              <w:spacing w:line="312" w:lineRule="auto"/>
              <w:jc w:val="both"/>
              <w:rPr>
                <w:rFonts w:eastAsia="Times New Roman"/>
                <w:color w:val="000000"/>
                <w:lang w:val="fr-BE" w:eastAsia="nl-BE"/>
              </w:rPr>
            </w:pPr>
            <w:r w:rsidRPr="00B34CB4">
              <w:rPr>
                <w:color w:val="000000"/>
                <w:lang w:val="fr-BE" w:eastAsia="nl-BE"/>
              </w:rPr>
              <w:t>Publication des résultats annuels de l’exercice 2022-2023</w:t>
            </w:r>
          </w:p>
        </w:tc>
        <w:tc>
          <w:tcPr>
            <w:tcW w:w="1124" w:type="pct"/>
            <w:shd w:val="clear" w:color="auto" w:fill="auto"/>
            <w:noWrap/>
            <w:vAlign w:val="center"/>
          </w:tcPr>
          <w:p w14:paraId="4C46CCE7" w14:textId="77777777" w:rsidR="00965203" w:rsidRPr="00B34CB4" w:rsidRDefault="00B34CB4" w:rsidP="00214E77">
            <w:pPr>
              <w:spacing w:line="312" w:lineRule="auto"/>
              <w:jc w:val="both"/>
              <w:rPr>
                <w:rFonts w:eastAsia="Times New Roman"/>
                <w:lang w:val="fr-BE" w:eastAsia="nl-BE"/>
              </w:rPr>
            </w:pPr>
            <w:r w:rsidRPr="00B34CB4">
              <w:rPr>
                <w:lang w:val="fr-BE" w:eastAsia="nl-BE"/>
              </w:rPr>
              <w:t>29 mai 2023</w:t>
            </w:r>
          </w:p>
        </w:tc>
      </w:tr>
    </w:tbl>
    <w:p w14:paraId="61923EAD" w14:textId="77777777" w:rsidR="00965203" w:rsidRPr="00B34CB4" w:rsidRDefault="00B34CB4" w:rsidP="00214E77">
      <w:pPr>
        <w:jc w:val="both"/>
        <w:rPr>
          <w:lang w:val="fr-BE"/>
        </w:rPr>
      </w:pPr>
      <w:r w:rsidRPr="00B34CB4">
        <w:rPr>
          <w:lang w:val="fr-BE"/>
        </w:rPr>
        <w:br w:type="page"/>
      </w:r>
    </w:p>
    <w:p w14:paraId="427B54B4" w14:textId="77777777" w:rsidR="009D75E6" w:rsidRPr="00B34CB4" w:rsidRDefault="009D75E6" w:rsidP="00214E77">
      <w:pPr>
        <w:spacing w:before="52"/>
        <w:jc w:val="both"/>
        <w:rPr>
          <w:b/>
          <w:color w:val="A89153"/>
          <w:sz w:val="24"/>
          <w:lang w:val="fr-BE"/>
        </w:rPr>
      </w:pPr>
    </w:p>
    <w:p w14:paraId="106D5FC6" w14:textId="77777777" w:rsidR="009D75E6" w:rsidRPr="00B34CB4" w:rsidRDefault="009D75E6" w:rsidP="00214E77">
      <w:pPr>
        <w:spacing w:before="52"/>
        <w:jc w:val="both"/>
        <w:rPr>
          <w:b/>
          <w:color w:val="A89153"/>
          <w:sz w:val="24"/>
          <w:lang w:val="fr-BE"/>
        </w:rPr>
      </w:pPr>
    </w:p>
    <w:p w14:paraId="4EFFF55D" w14:textId="77777777" w:rsidR="009D75E6" w:rsidRPr="00B34CB4" w:rsidRDefault="009D75E6" w:rsidP="00214E77">
      <w:pPr>
        <w:spacing w:before="52"/>
        <w:jc w:val="both"/>
        <w:rPr>
          <w:b/>
          <w:color w:val="A89153"/>
          <w:sz w:val="24"/>
          <w:lang w:val="fr-BE"/>
        </w:rPr>
      </w:pPr>
    </w:p>
    <w:p w14:paraId="4C74C0BC" w14:textId="77777777" w:rsidR="00BF6519" w:rsidRPr="00B34CB4" w:rsidRDefault="00B34CB4" w:rsidP="00214E77">
      <w:pPr>
        <w:spacing w:before="52"/>
        <w:jc w:val="both"/>
        <w:rPr>
          <w:b/>
          <w:sz w:val="24"/>
          <w:lang w:val="fr-BE"/>
        </w:rPr>
      </w:pPr>
      <w:r w:rsidRPr="00B34CB4">
        <w:rPr>
          <w:b/>
          <w:bCs/>
          <w:color w:val="A89153"/>
          <w:sz w:val="24"/>
          <w:szCs w:val="24"/>
          <w:lang w:val="fr-BE"/>
        </w:rPr>
        <w:t>A PROPOS DE RETAIL ESTATES SA</w:t>
      </w:r>
    </w:p>
    <w:p w14:paraId="3612BEDE" w14:textId="77777777" w:rsidR="00BF6519" w:rsidRPr="00B34CB4" w:rsidRDefault="00BF6519" w:rsidP="00214E77">
      <w:pPr>
        <w:pStyle w:val="Plattetekst"/>
        <w:spacing w:before="5"/>
        <w:jc w:val="both"/>
        <w:rPr>
          <w:rFonts w:ascii="Calibri"/>
          <w:b/>
          <w:lang w:val="fr-BE"/>
        </w:rPr>
      </w:pPr>
    </w:p>
    <w:p w14:paraId="08312AEF" w14:textId="77777777" w:rsidR="00BF6519" w:rsidRPr="00B34CB4" w:rsidRDefault="00B34CB4" w:rsidP="00175459">
      <w:pPr>
        <w:spacing w:line="235" w:lineRule="auto"/>
        <w:jc w:val="both"/>
        <w:rPr>
          <w:sz w:val="19"/>
          <w:lang w:val="fr-BE"/>
        </w:rPr>
      </w:pPr>
      <w:r w:rsidRPr="00B34CB4">
        <w:rPr>
          <w:color w:val="231F20"/>
          <w:sz w:val="19"/>
          <w:szCs w:val="19"/>
          <w:lang w:val="fr-BE"/>
        </w:rPr>
        <w:t>Retail Estates SA est une société immobilière réglementée publique spécialisée dans certains créneaux de marché et particulièrement dans la mise à disposition de magasins situés en périphérie des agglomérations ou le long des axes routiers menant aux centres urbains. Retail Estates SA achète ces biens immobiliers à des tiers ou les construit et les commercialise pour son propre compte. Les immeubles ont une superficie allant de 500 m² à 3 000 m². Un immeuble commercial typique présente une superficie moyenne de 1 000 m².</w:t>
      </w:r>
    </w:p>
    <w:p w14:paraId="6148D5F5" w14:textId="77777777" w:rsidR="00BF6519" w:rsidRPr="00B34CB4" w:rsidRDefault="00BF6519" w:rsidP="00214E77">
      <w:pPr>
        <w:pStyle w:val="Plattetekst"/>
        <w:spacing w:before="11"/>
        <w:jc w:val="both"/>
        <w:rPr>
          <w:sz w:val="18"/>
          <w:lang w:val="fr-BE"/>
        </w:rPr>
      </w:pPr>
    </w:p>
    <w:p w14:paraId="42450E9E" w14:textId="77777777" w:rsidR="00BF6519" w:rsidRPr="00B34CB4" w:rsidRDefault="00B34CB4" w:rsidP="00175459">
      <w:pPr>
        <w:spacing w:line="235" w:lineRule="auto"/>
        <w:jc w:val="both"/>
        <w:rPr>
          <w:sz w:val="19"/>
          <w:lang w:val="fr-BE"/>
        </w:rPr>
      </w:pPr>
      <w:r w:rsidRPr="00B34CB4">
        <w:rPr>
          <w:color w:val="231F20"/>
          <w:sz w:val="19"/>
          <w:szCs w:val="19"/>
          <w:lang w:val="fr-BE"/>
        </w:rPr>
        <w:t>Au 30 juin 2022, Retail Estates SA détient en portefeuille 983 immeubles, pour une surface commerciale totale de 1 161 282 m², répartis sur la Belgique et les Pays-Bas. Le taux d'occupation du portefeuille au 30 juin 2022 est de 97,64 % par rapport à 97,83 % au 31 mars 2022.</w:t>
      </w:r>
    </w:p>
    <w:p w14:paraId="6E4E8B7A" w14:textId="77777777" w:rsidR="00BF6519" w:rsidRPr="00B34CB4" w:rsidRDefault="00B34CB4" w:rsidP="00175459">
      <w:pPr>
        <w:spacing w:before="2" w:line="235" w:lineRule="auto"/>
        <w:jc w:val="both"/>
        <w:rPr>
          <w:sz w:val="19"/>
          <w:lang w:val="fr-BE"/>
        </w:rPr>
      </w:pPr>
      <w:r w:rsidRPr="00B34CB4">
        <w:rPr>
          <w:color w:val="231F20"/>
          <w:sz w:val="19"/>
          <w:szCs w:val="19"/>
          <w:lang w:val="fr-BE"/>
        </w:rPr>
        <w:t>Au 30 juin 2022, les experts immobiliers indépendants ont estimé la juste valeur du portefeuille immobilier consolidé de Retail Estates SA à 1 781 millions d’euros.</w:t>
      </w:r>
    </w:p>
    <w:p w14:paraId="5649BD7B" w14:textId="77777777" w:rsidR="00BF6519" w:rsidRPr="00B34CB4" w:rsidRDefault="00BF6519" w:rsidP="00214E77">
      <w:pPr>
        <w:pStyle w:val="Plattetekst"/>
        <w:spacing w:before="9"/>
        <w:jc w:val="both"/>
        <w:rPr>
          <w:sz w:val="18"/>
          <w:lang w:val="fr-BE"/>
        </w:rPr>
      </w:pPr>
    </w:p>
    <w:p w14:paraId="65F702C1" w14:textId="77777777" w:rsidR="00BF6519" w:rsidRPr="00B34CB4" w:rsidRDefault="00B34CB4" w:rsidP="00175459">
      <w:pPr>
        <w:spacing w:line="235" w:lineRule="auto"/>
        <w:jc w:val="both"/>
        <w:rPr>
          <w:sz w:val="19"/>
          <w:lang w:val="fr-BE"/>
        </w:rPr>
      </w:pPr>
      <w:r w:rsidRPr="00B34CB4">
        <w:rPr>
          <w:color w:val="231F20"/>
          <w:sz w:val="19"/>
          <w:szCs w:val="19"/>
          <w:lang w:val="fr-BE"/>
        </w:rPr>
        <w:t>Cotée sur Euronext Brussels et Euronext Amsterdam, Retail Estates SA possède le statut de société immobilière réglementée publique.</w:t>
      </w:r>
    </w:p>
    <w:p w14:paraId="5031959B" w14:textId="77777777" w:rsidR="00BF6519" w:rsidRPr="00B34CB4" w:rsidRDefault="00BF6519" w:rsidP="00214E77">
      <w:pPr>
        <w:pStyle w:val="Plattetekst"/>
        <w:jc w:val="both"/>
        <w:rPr>
          <w:sz w:val="18"/>
          <w:lang w:val="fr-BE"/>
        </w:rPr>
      </w:pPr>
    </w:p>
    <w:p w14:paraId="19453FF1" w14:textId="77777777" w:rsidR="00BF6519" w:rsidRPr="00B34CB4" w:rsidRDefault="00BF6519" w:rsidP="00214E77">
      <w:pPr>
        <w:pStyle w:val="Plattetekst"/>
        <w:spacing w:before="3"/>
        <w:jc w:val="both"/>
        <w:rPr>
          <w:sz w:val="20"/>
          <w:lang w:val="fr-BE"/>
        </w:rPr>
      </w:pPr>
    </w:p>
    <w:p w14:paraId="10B2B1DB" w14:textId="77777777" w:rsidR="00BF6519" w:rsidRPr="00B34CB4" w:rsidRDefault="00B34CB4" w:rsidP="00214E77">
      <w:pPr>
        <w:jc w:val="both"/>
        <w:rPr>
          <w:b/>
          <w:sz w:val="24"/>
          <w:lang w:val="fr-BE"/>
        </w:rPr>
      </w:pPr>
      <w:r w:rsidRPr="00B34CB4">
        <w:rPr>
          <w:b/>
          <w:bCs/>
          <w:color w:val="A89153"/>
          <w:sz w:val="24"/>
          <w:szCs w:val="24"/>
          <w:lang w:val="fr-BE"/>
        </w:rPr>
        <w:t>DÉCLARATIONS PRÉVISIONNELLES</w:t>
      </w:r>
    </w:p>
    <w:p w14:paraId="325DE5F7" w14:textId="77777777" w:rsidR="00BF6519" w:rsidRPr="00B34CB4" w:rsidRDefault="00BF6519" w:rsidP="00214E77">
      <w:pPr>
        <w:pStyle w:val="Plattetekst"/>
        <w:spacing w:before="5"/>
        <w:jc w:val="both"/>
        <w:rPr>
          <w:rFonts w:ascii="Calibri"/>
          <w:b/>
          <w:lang w:val="fr-BE"/>
        </w:rPr>
      </w:pPr>
    </w:p>
    <w:p w14:paraId="574C128A" w14:textId="77777777" w:rsidR="00BF6519" w:rsidRPr="00B34CB4" w:rsidRDefault="00B34CB4" w:rsidP="00175459">
      <w:pPr>
        <w:spacing w:line="235" w:lineRule="auto"/>
        <w:jc w:val="both"/>
        <w:rPr>
          <w:sz w:val="19"/>
          <w:lang w:val="fr-BE"/>
        </w:rPr>
      </w:pPr>
      <w:r w:rsidRPr="00B34CB4">
        <w:rPr>
          <w:color w:val="231F20"/>
          <w:sz w:val="19"/>
          <w:szCs w:val="19"/>
          <w:lang w:val="fr-BE"/>
        </w:rPr>
        <w:t>Le présent communiqué de presse contient un certain nombre de déclarations prévisionnelles. Les risques et incertitudes qui pèsent sur de telles prévisions peuvent impliquer que les résultats réels s'écartent considérablement des résultats annoncés par lesdites déclarations prévisionnelles dans le présent communiqué. Les principaux facteurs susceptibles d’influencer les résultats sont notamment l’évolution de la situation économique et les facteurs commerciaux, fiscaux et conjoncturels.</w:t>
      </w:r>
    </w:p>
    <w:p w14:paraId="1C7021DC" w14:textId="77777777" w:rsidR="00BF6519" w:rsidRPr="00B34CB4" w:rsidRDefault="00BF6519" w:rsidP="00214E77">
      <w:pPr>
        <w:pStyle w:val="Plattetekst"/>
        <w:spacing w:before="8"/>
        <w:jc w:val="both"/>
        <w:rPr>
          <w:sz w:val="18"/>
          <w:lang w:val="fr-BE"/>
        </w:rPr>
      </w:pPr>
    </w:p>
    <w:p w14:paraId="14CFB3B7" w14:textId="77777777" w:rsidR="00BF6519" w:rsidRPr="00B34CB4" w:rsidRDefault="00B34CB4" w:rsidP="00214E77">
      <w:pPr>
        <w:jc w:val="both"/>
        <w:rPr>
          <w:sz w:val="19"/>
          <w:lang w:val="fr-BE"/>
        </w:rPr>
      </w:pPr>
      <w:r w:rsidRPr="00B34CB4">
        <w:rPr>
          <w:color w:val="231F20"/>
          <w:sz w:val="19"/>
          <w:szCs w:val="19"/>
          <w:lang w:val="fr-BE"/>
        </w:rPr>
        <w:t>Ternat, le 29 août 2022</w:t>
      </w:r>
    </w:p>
    <w:p w14:paraId="7F2E2F32" w14:textId="77777777" w:rsidR="00BF6519" w:rsidRPr="00B34CB4" w:rsidRDefault="00BF6519" w:rsidP="00214E77">
      <w:pPr>
        <w:pStyle w:val="Plattetekst"/>
        <w:spacing w:before="4"/>
        <w:jc w:val="both"/>
        <w:rPr>
          <w:sz w:val="18"/>
          <w:lang w:val="fr-BE"/>
        </w:rPr>
      </w:pPr>
    </w:p>
    <w:p w14:paraId="29D58874" w14:textId="77777777" w:rsidR="00FF69C1" w:rsidRPr="00B34CB4" w:rsidRDefault="00FF69C1" w:rsidP="00214E77">
      <w:pPr>
        <w:jc w:val="both"/>
        <w:rPr>
          <w:color w:val="231F20"/>
          <w:sz w:val="19"/>
          <w:lang w:val="fr-BE"/>
        </w:rPr>
      </w:pPr>
    </w:p>
    <w:p w14:paraId="7FE08435" w14:textId="77777777" w:rsidR="00FF69C1" w:rsidRPr="00B34CB4" w:rsidRDefault="00FF69C1" w:rsidP="00214E77">
      <w:pPr>
        <w:jc w:val="both"/>
        <w:rPr>
          <w:color w:val="231F20"/>
          <w:sz w:val="19"/>
          <w:lang w:val="fr-BE"/>
        </w:rPr>
      </w:pPr>
    </w:p>
    <w:p w14:paraId="633CDCB0" w14:textId="77777777" w:rsidR="00FF69C1" w:rsidRPr="00B34CB4" w:rsidRDefault="00FF69C1" w:rsidP="00214E77">
      <w:pPr>
        <w:jc w:val="both"/>
        <w:rPr>
          <w:color w:val="231F20"/>
          <w:sz w:val="19"/>
          <w:lang w:val="fr-BE"/>
        </w:rPr>
      </w:pPr>
    </w:p>
    <w:p w14:paraId="30EB3A75" w14:textId="77777777" w:rsidR="00BF6519" w:rsidRPr="00B34CB4" w:rsidRDefault="00B34CB4" w:rsidP="00214E77">
      <w:pPr>
        <w:jc w:val="both"/>
        <w:rPr>
          <w:sz w:val="19"/>
          <w:lang w:val="fr-BE"/>
        </w:rPr>
      </w:pPr>
      <w:r w:rsidRPr="00B34CB4">
        <w:rPr>
          <w:color w:val="231F20"/>
          <w:sz w:val="19"/>
          <w:szCs w:val="19"/>
          <w:lang w:val="fr-BE"/>
        </w:rPr>
        <w:t>Jan De Nys, administrateur délégué de Retail Estates SA</w:t>
      </w:r>
    </w:p>
    <w:p w14:paraId="4B2E7145" w14:textId="77777777" w:rsidR="00BF6519" w:rsidRPr="00B34CB4" w:rsidRDefault="00BF6519" w:rsidP="00214E77">
      <w:pPr>
        <w:pStyle w:val="Plattetekst"/>
        <w:spacing w:before="7"/>
        <w:jc w:val="both"/>
        <w:rPr>
          <w:sz w:val="18"/>
          <w:lang w:val="fr-BE"/>
        </w:rPr>
      </w:pPr>
    </w:p>
    <w:p w14:paraId="4FBC4AF1" w14:textId="77777777" w:rsidR="00BF6519" w:rsidRPr="00B34CB4" w:rsidRDefault="00B34CB4" w:rsidP="00214E77">
      <w:pPr>
        <w:spacing w:line="241" w:lineRule="exact"/>
        <w:jc w:val="both"/>
        <w:rPr>
          <w:rFonts w:ascii="Calibri"/>
          <w:b/>
          <w:sz w:val="20"/>
          <w:lang w:val="fr-BE"/>
        </w:rPr>
      </w:pPr>
      <w:r w:rsidRPr="00B34CB4">
        <w:rPr>
          <w:rFonts w:ascii="Calibri" w:eastAsia="Calibri" w:hAnsi="Calibri"/>
          <w:b/>
          <w:bCs/>
          <w:color w:val="231F20"/>
          <w:sz w:val="20"/>
          <w:szCs w:val="20"/>
          <w:lang w:val="fr-BE"/>
        </w:rPr>
        <w:t>Pour tout renseignement complémentaire</w:t>
      </w:r>
    </w:p>
    <w:p w14:paraId="0593E874" w14:textId="77777777" w:rsidR="00330626" w:rsidRPr="00B34CB4" w:rsidRDefault="00B34CB4" w:rsidP="00214E77">
      <w:pPr>
        <w:spacing w:line="235" w:lineRule="auto"/>
        <w:ind w:right="2835"/>
        <w:jc w:val="both"/>
        <w:rPr>
          <w:color w:val="231F20"/>
          <w:sz w:val="19"/>
          <w:lang w:val="fr-BE"/>
        </w:rPr>
      </w:pPr>
      <w:r w:rsidRPr="00B34CB4">
        <w:rPr>
          <w:color w:val="231F20"/>
          <w:sz w:val="19"/>
          <w:szCs w:val="19"/>
          <w:lang w:val="fr-BE"/>
        </w:rPr>
        <w:t xml:space="preserve">Retail Estates sa, Jan De Nys – CEO, tél. +32 2/568 10 20 – +32 475/27 84 12 </w:t>
      </w:r>
    </w:p>
    <w:p w14:paraId="16496902" w14:textId="77777777" w:rsidR="00BF6519" w:rsidRPr="00B34CB4" w:rsidRDefault="00B34CB4" w:rsidP="00214E77">
      <w:pPr>
        <w:spacing w:line="235" w:lineRule="auto"/>
        <w:ind w:right="2835"/>
        <w:jc w:val="both"/>
        <w:rPr>
          <w:sz w:val="19"/>
          <w:lang w:val="fr-BE"/>
        </w:rPr>
      </w:pPr>
      <w:r w:rsidRPr="00B34CB4">
        <w:rPr>
          <w:color w:val="231F20"/>
          <w:sz w:val="19"/>
          <w:szCs w:val="19"/>
          <w:lang w:val="fr-BE"/>
        </w:rPr>
        <w:t>Retail Estates sa, Kara De Smet – CFO, tél. +32 2/568 10 20</w:t>
      </w:r>
    </w:p>
    <w:p w14:paraId="194E346A" w14:textId="77777777" w:rsidR="00A859F0" w:rsidRPr="00B34CB4" w:rsidRDefault="00A859F0" w:rsidP="00214E77">
      <w:pPr>
        <w:pStyle w:val="Plattetekst"/>
        <w:jc w:val="both"/>
        <w:rPr>
          <w:sz w:val="20"/>
          <w:lang w:val="fr-BE"/>
        </w:rPr>
      </w:pPr>
    </w:p>
    <w:p w14:paraId="683D934F" w14:textId="77777777" w:rsidR="00A859F0" w:rsidRPr="00B34CB4" w:rsidRDefault="00A859F0" w:rsidP="00214E77">
      <w:pPr>
        <w:pStyle w:val="Plattetekst"/>
        <w:jc w:val="both"/>
        <w:rPr>
          <w:sz w:val="20"/>
          <w:lang w:val="fr-BE"/>
        </w:rPr>
      </w:pPr>
    </w:p>
    <w:p w14:paraId="1D491E82" w14:textId="46E6D36B" w:rsidR="00A859F0" w:rsidRPr="00B34CB4" w:rsidRDefault="00A859F0" w:rsidP="00214E77">
      <w:pPr>
        <w:pStyle w:val="Plattetekst"/>
        <w:jc w:val="both"/>
        <w:rPr>
          <w:sz w:val="20"/>
          <w:lang w:val="fr-BE"/>
        </w:rPr>
      </w:pPr>
    </w:p>
    <w:p w14:paraId="19242EC8" w14:textId="2049831E" w:rsidR="00A859F0" w:rsidRPr="00B34CB4" w:rsidRDefault="008174DF" w:rsidP="00214E77">
      <w:pPr>
        <w:pStyle w:val="Plattetekst"/>
        <w:jc w:val="both"/>
        <w:rPr>
          <w:sz w:val="20"/>
          <w:lang w:val="fr-BE"/>
        </w:rPr>
      </w:pPr>
      <w:r>
        <w:rPr>
          <w:noProof/>
        </w:rPr>
        <w:drawing>
          <wp:anchor distT="0" distB="0" distL="114300" distR="114300" simplePos="0" relativeHeight="251659264" behindDoc="0" locked="0" layoutInCell="1" allowOverlap="1" wp14:anchorId="279E2BB9" wp14:editId="6506EC4B">
            <wp:simplePos x="0" y="0"/>
            <wp:positionH relativeFrom="column">
              <wp:posOffset>-919480</wp:posOffset>
            </wp:positionH>
            <wp:positionV relativeFrom="paragraph">
              <wp:posOffset>760095</wp:posOffset>
            </wp:positionV>
            <wp:extent cx="7572375" cy="2714625"/>
            <wp:effectExtent l="0" t="0" r="9525" b="9525"/>
            <wp:wrapNone/>
            <wp:docPr id="6" name="Afbeelding 6" descr="Afbeelding met tekst&#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pic:cNvPicPr>
                  </pic:nvPicPr>
                  <pic:blipFill>
                    <a:blip r:embed="rId9">
                      <a:extLst>
                        <a:ext uri="{28A0092B-C50C-407E-A947-70E740481C1C}">
                          <a14:useLocalDpi xmlns:a14="http://schemas.microsoft.com/office/drawing/2010/main" val="0"/>
                        </a:ext>
                      </a:extLst>
                    </a:blip>
                    <a:stretch>
                      <a:fillRect/>
                    </a:stretch>
                  </pic:blipFill>
                  <pic:spPr>
                    <a:xfrm>
                      <a:off x="0" y="0"/>
                      <a:ext cx="7572375" cy="2714625"/>
                    </a:xfrm>
                    <a:prstGeom prst="rect">
                      <a:avLst/>
                    </a:prstGeom>
                  </pic:spPr>
                </pic:pic>
              </a:graphicData>
            </a:graphic>
            <wp14:sizeRelH relativeFrom="page">
              <wp14:pctWidth>0</wp14:pctWidth>
            </wp14:sizeRelH>
            <wp14:sizeRelV relativeFrom="page">
              <wp14:pctHeight>0</wp14:pctHeight>
            </wp14:sizeRelV>
          </wp:anchor>
        </w:drawing>
      </w:r>
    </w:p>
    <w:sectPr w:rsidR="00A859F0" w:rsidRPr="00B34CB4" w:rsidSect="00FF69C1">
      <w:pgSz w:w="11910" w:h="16840"/>
      <w:pgMar w:top="1135" w:right="1420" w:bottom="851"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9AB5A" w14:textId="77777777" w:rsidR="00A35E0A" w:rsidRDefault="00A35E0A">
      <w:r>
        <w:separator/>
      </w:r>
    </w:p>
  </w:endnote>
  <w:endnote w:type="continuationSeparator" w:id="0">
    <w:p w14:paraId="68AD5B25" w14:textId="77777777" w:rsidR="00A35E0A" w:rsidRDefault="00A35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ndara Light">
    <w:panose1 w:val="020E0502030303020204"/>
    <w:charset w:val="00"/>
    <w:family w:val="swiss"/>
    <w:pitch w:val="variable"/>
    <w:sig w:usb0="A00002F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7280" w14:textId="77777777" w:rsidR="00A35E0A" w:rsidRDefault="00A35E0A" w:rsidP="00965203">
      <w:r>
        <w:separator/>
      </w:r>
    </w:p>
  </w:footnote>
  <w:footnote w:type="continuationSeparator" w:id="0">
    <w:p w14:paraId="3D4B4A90" w14:textId="77777777" w:rsidR="00A35E0A" w:rsidRDefault="00A35E0A" w:rsidP="00965203">
      <w:r>
        <w:continuationSeparator/>
      </w:r>
    </w:p>
  </w:footnote>
  <w:footnote w:id="1">
    <w:p w14:paraId="3AB53875" w14:textId="77777777" w:rsidR="00965203" w:rsidRPr="008174DF" w:rsidRDefault="00B34CB4" w:rsidP="00965203">
      <w:pPr>
        <w:pStyle w:val="Voetnoottekst"/>
        <w:rPr>
          <w:rFonts w:ascii="Calibri Light" w:hAnsi="Calibri Light" w:cs="Calibri Light"/>
          <w:sz w:val="16"/>
          <w:szCs w:val="16"/>
          <w:lang w:val="fr-BE"/>
        </w:rPr>
      </w:pPr>
      <w:r w:rsidRPr="00DC2C52">
        <w:rPr>
          <w:rStyle w:val="Voetnootmarkering"/>
          <w:sz w:val="16"/>
          <w:szCs w:val="16"/>
        </w:rPr>
        <w:footnoteRef/>
      </w:r>
      <w:r>
        <w:rPr>
          <w:rFonts w:ascii="Calibri Light" w:eastAsia="Calibri Light" w:hAnsi="Calibri Light" w:cs="Calibri Light"/>
          <w:sz w:val="16"/>
          <w:szCs w:val="16"/>
        </w:rPr>
        <w:t>Les chiffres figurant dans ce communiqué de presse sont les états financiers consolidés, non audités et établis selon les normes comptables IFRS.</w:t>
      </w:r>
    </w:p>
  </w:footnote>
  <w:footnote w:id="2">
    <w:p w14:paraId="5543B1F3" w14:textId="77777777" w:rsidR="00965203" w:rsidRPr="008174DF" w:rsidRDefault="00B34CB4" w:rsidP="00B708A9">
      <w:pPr>
        <w:pStyle w:val="Voetnoottekst"/>
        <w:ind w:left="98" w:hanging="98"/>
        <w:rPr>
          <w:sz w:val="16"/>
          <w:szCs w:val="16"/>
          <w:lang w:val="fr-BE"/>
        </w:rPr>
      </w:pPr>
      <w:r w:rsidRPr="00DC2C52">
        <w:rPr>
          <w:rStyle w:val="Voetnootmarkering"/>
          <w:rFonts w:ascii="Calibri Light" w:hAnsi="Calibri Light" w:cs="Calibri Light"/>
          <w:sz w:val="16"/>
          <w:szCs w:val="16"/>
        </w:rPr>
        <w:footnoteRef/>
      </w:r>
      <w:r>
        <w:rPr>
          <w:rFonts w:ascii="Calibri Light" w:eastAsia="Calibri Light" w:hAnsi="Calibri Light" w:cs="Calibri Light"/>
          <w:sz w:val="16"/>
          <w:szCs w:val="16"/>
        </w:rPr>
        <w:t>Le résultat EPRA se calcule comme suit : le résultat net hors les variations de la juste valeur des immeubles de placement, hors le résultat enregistré sur les ventes d’immeubles de placement et hors les variations de la juste valeur des actifs et des passifs financiers.</w:t>
      </w:r>
    </w:p>
  </w:footnote>
  <w:footnote w:id="3">
    <w:p w14:paraId="210EA221" w14:textId="77777777" w:rsidR="00965203" w:rsidRPr="008174DF" w:rsidRDefault="00B34CB4" w:rsidP="00965203">
      <w:pPr>
        <w:pStyle w:val="Voetnoottekst"/>
        <w:rPr>
          <w:rFonts w:ascii="Calibri Light" w:hAnsi="Calibri Light" w:cs="Calibri Light"/>
          <w:sz w:val="16"/>
          <w:szCs w:val="16"/>
          <w:lang w:val="fr-BE"/>
        </w:rPr>
      </w:pPr>
      <w:r w:rsidRPr="00DC2C52">
        <w:rPr>
          <w:rStyle w:val="Voetnootmarkering"/>
          <w:sz w:val="16"/>
          <w:szCs w:val="16"/>
        </w:rPr>
        <w:footnoteRef/>
      </w:r>
      <w:r>
        <w:rPr>
          <w:sz w:val="16"/>
          <w:szCs w:val="16"/>
        </w:rPr>
        <w:t xml:space="preserve"> </w:t>
      </w:r>
      <w:r>
        <w:rPr>
          <w:rFonts w:ascii="Calibri Light" w:eastAsia="Calibri Light" w:hAnsi="Calibri Light" w:cs="Calibri Light"/>
          <w:sz w:val="16"/>
          <w:szCs w:val="16"/>
        </w:rPr>
        <w:t>Le taux d’occupation correspond à la superficie des surfaces de vente effectivement louée par rapport à la superficie des surfaces de vente en portefeuille, exprimée en m².</w:t>
      </w:r>
    </w:p>
  </w:footnote>
  <w:footnote w:id="4">
    <w:p w14:paraId="496E8037" w14:textId="77777777" w:rsidR="00DC2C52" w:rsidRPr="008174DF" w:rsidRDefault="00B34CB4" w:rsidP="00B708A9">
      <w:pPr>
        <w:pStyle w:val="Voetnoottekst"/>
        <w:ind w:left="98" w:hanging="98"/>
        <w:rPr>
          <w:rFonts w:ascii="Calibri Light" w:hAnsi="Calibri Light" w:cs="Calibri Light"/>
          <w:sz w:val="16"/>
          <w:szCs w:val="16"/>
          <w:lang w:val="fr-BE"/>
        </w:rPr>
      </w:pPr>
      <w:r w:rsidRPr="00DC2C52">
        <w:rPr>
          <w:rStyle w:val="Voetnootmarkering"/>
          <w:rFonts w:ascii="Calibri Light" w:hAnsi="Calibri Light" w:cs="Calibri Light"/>
          <w:sz w:val="16"/>
          <w:szCs w:val="16"/>
        </w:rPr>
        <w:footnoteRef/>
      </w:r>
      <w:r>
        <w:rPr>
          <w:rFonts w:ascii="Calibri Light" w:eastAsia="Calibri Light" w:hAnsi="Calibri Light" w:cs="Calibri Light"/>
          <w:sz w:val="16"/>
          <w:szCs w:val="16"/>
        </w:rPr>
        <w:t>Juste valeur (</w:t>
      </w:r>
      <w:proofErr w:type="spellStart"/>
      <w:r>
        <w:rPr>
          <w:rFonts w:ascii="Calibri Light" w:eastAsia="Calibri Light" w:hAnsi="Calibri Light" w:cs="Calibri Light"/>
          <w:sz w:val="16"/>
          <w:szCs w:val="16"/>
        </w:rPr>
        <w:t>fair</w:t>
      </w:r>
      <w:proofErr w:type="spellEnd"/>
      <w:r>
        <w:rPr>
          <w:rFonts w:ascii="Calibri Light" w:eastAsia="Calibri Light" w:hAnsi="Calibri Light" w:cs="Calibri Light"/>
          <w:sz w:val="16"/>
          <w:szCs w:val="16"/>
        </w:rPr>
        <w:t xml:space="preserve"> value) : valeur d'investissement telle qu'établie par un expert immobilier indépendant et dont les frais hypothétiques de mutation ont été déduits. La juste valeur est la valeur comptable sous IFRS (voir aussi annexe 21 au rapport annuel 2021-2022).</w:t>
      </w:r>
    </w:p>
  </w:footnote>
  <w:footnote w:id="5">
    <w:p w14:paraId="2F39889C" w14:textId="77777777" w:rsidR="00DA1932" w:rsidRPr="008174DF" w:rsidRDefault="00B34CB4">
      <w:pPr>
        <w:pStyle w:val="Voetnoottekst"/>
        <w:rPr>
          <w:lang w:val="fr-BE"/>
        </w:rPr>
      </w:pPr>
      <w:r w:rsidRPr="00865E27">
        <w:rPr>
          <w:rStyle w:val="Voetnootmarkering"/>
          <w:rFonts w:ascii="Candara Light" w:hAnsi="Candara Light"/>
          <w:sz w:val="16"/>
          <w:szCs w:val="16"/>
        </w:rPr>
        <w:footnoteRef/>
      </w:r>
      <w:r>
        <w:rPr>
          <w:rFonts w:ascii="Candara Light" w:eastAsia="Candara Light" w:hAnsi="Candara Light" w:cs="Calibri Light"/>
          <w:sz w:val="16"/>
          <w:szCs w:val="16"/>
        </w:rPr>
        <w:t xml:space="preserve"> </w:t>
      </w:r>
      <w:r>
        <w:rPr>
          <w:rFonts w:ascii="Calibri Light" w:eastAsia="Calibri Light" w:hAnsi="Calibri Light" w:cs="Calibri Light"/>
          <w:sz w:val="16"/>
          <w:szCs w:val="16"/>
        </w:rPr>
        <w:t>Voir communiqué de presse du 5 juillet 2022.</w:t>
      </w:r>
    </w:p>
  </w:footnote>
  <w:footnote w:id="6">
    <w:p w14:paraId="4D3A9F37" w14:textId="77777777" w:rsidR="00865E27" w:rsidRPr="008174DF" w:rsidRDefault="00B34CB4">
      <w:pPr>
        <w:pStyle w:val="Voetnoottekst"/>
        <w:rPr>
          <w:lang w:val="fr-BE"/>
        </w:rPr>
      </w:pPr>
      <w:r w:rsidRPr="00B863C9">
        <w:rPr>
          <w:rStyle w:val="Voetnootmarkering"/>
          <w:sz w:val="16"/>
          <w:szCs w:val="16"/>
        </w:rPr>
        <w:footnoteRef/>
      </w:r>
      <w:r>
        <w:rPr>
          <w:rFonts w:cs="Calibri Light"/>
          <w:sz w:val="16"/>
          <w:szCs w:val="16"/>
        </w:rPr>
        <w:t xml:space="preserve"> </w:t>
      </w:r>
      <w:r>
        <w:rPr>
          <w:rFonts w:ascii="Calibri Light" w:eastAsia="Calibri Light" w:hAnsi="Calibri Light" w:cs="Calibri Light"/>
          <w:sz w:val="16"/>
          <w:szCs w:val="16"/>
        </w:rPr>
        <w:t>Voir communiqué de presse du 10 juin 2022.</w:t>
      </w:r>
    </w:p>
  </w:footnote>
  <w:footnote w:id="7">
    <w:p w14:paraId="5CFAD2F3" w14:textId="77777777" w:rsidR="002E2AE2" w:rsidRPr="008174DF" w:rsidRDefault="00B34CB4" w:rsidP="00965203">
      <w:pPr>
        <w:pStyle w:val="Voetnoottekst"/>
        <w:rPr>
          <w:rFonts w:ascii="Calibri Light" w:hAnsi="Calibri Light" w:cs="Calibri Light"/>
          <w:sz w:val="16"/>
          <w:szCs w:val="16"/>
          <w:lang w:val="fr-BE"/>
        </w:rPr>
      </w:pPr>
      <w:r w:rsidRPr="00DC2C52">
        <w:rPr>
          <w:rStyle w:val="Voetnootmarkering"/>
          <w:sz w:val="16"/>
          <w:szCs w:val="16"/>
        </w:rPr>
        <w:footnoteRef/>
      </w:r>
      <w:r>
        <w:rPr>
          <w:sz w:val="16"/>
          <w:szCs w:val="16"/>
        </w:rPr>
        <w:t xml:space="preserve"> </w:t>
      </w:r>
      <w:r>
        <w:rPr>
          <w:rFonts w:ascii="Calibri Light" w:eastAsia="Calibri Light" w:hAnsi="Calibri Light" w:cs="Calibri Light"/>
          <w:sz w:val="16"/>
          <w:szCs w:val="16"/>
        </w:rPr>
        <w:t>Les frais d'intérêts (y compris la marge de crédit et le coût des instruments de couverture), divisés par la dette financière moyenne pondérée sur la période en question.</w:t>
      </w:r>
    </w:p>
  </w:footnote>
  <w:footnote w:id="8">
    <w:p w14:paraId="1D7BA98B" w14:textId="77777777" w:rsidR="00965203" w:rsidRPr="00DC2C52" w:rsidRDefault="00B34CB4" w:rsidP="00965203">
      <w:pPr>
        <w:pStyle w:val="Voetnoottekst"/>
        <w:rPr>
          <w:rFonts w:ascii="Calibri Light" w:hAnsi="Calibri Light" w:cs="Calibri Light"/>
          <w:sz w:val="16"/>
          <w:szCs w:val="16"/>
          <w:lang w:val="nl-BE"/>
        </w:rPr>
      </w:pPr>
      <w:r w:rsidRPr="00DC2C52">
        <w:rPr>
          <w:rStyle w:val="Voetnootmarkering"/>
          <w:rFonts w:asciiTheme="minorHAnsi" w:hAnsiTheme="minorHAnsi"/>
          <w:sz w:val="16"/>
          <w:szCs w:val="16"/>
        </w:rPr>
        <w:footnoteRef/>
      </w:r>
      <w:r>
        <w:rPr>
          <w:rStyle w:val="Voetnootmarkering"/>
          <w:rFonts w:ascii="Calibri" w:eastAsia="Calibri" w:hAnsi="Calibri"/>
          <w:sz w:val="16"/>
          <w:szCs w:val="16"/>
          <w:vertAlign w:val="baseline"/>
        </w:rPr>
        <w:t xml:space="preserve"> </w:t>
      </w:r>
      <w:r>
        <w:rPr>
          <w:rStyle w:val="Voetnootmarkering"/>
          <w:rFonts w:ascii="Calibri Light" w:eastAsia="Calibri Light" w:hAnsi="Calibri Light" w:cs="Calibri Light"/>
          <w:sz w:val="16"/>
          <w:szCs w:val="16"/>
          <w:vertAlign w:val="baseline"/>
        </w:rPr>
        <w:t>Cette valeur de l'actif net au 30 juin 2022 comprend le dividende et contient à la fois le dividende de l'exercice 2021-2022 et le dividende envisagé du premier trimestre de l'exercice 2022-2023.</w:t>
      </w:r>
    </w:p>
  </w:footnote>
  <w:footnote w:id="9">
    <w:p w14:paraId="2C23F73D" w14:textId="77777777" w:rsidR="00DC2C52" w:rsidRPr="008174DF" w:rsidRDefault="00B34CB4" w:rsidP="00965203">
      <w:pPr>
        <w:pStyle w:val="Voetnoottekst"/>
        <w:rPr>
          <w:rFonts w:ascii="Calibri Light" w:hAnsi="Calibri Light" w:cs="Calibri Light"/>
          <w:sz w:val="16"/>
          <w:szCs w:val="16"/>
          <w:lang w:val="fr-BE"/>
        </w:rPr>
      </w:pPr>
      <w:r w:rsidRPr="00DC2C52">
        <w:rPr>
          <w:rStyle w:val="Voetnootmarkering"/>
          <w:rFonts w:ascii="Calibri Light" w:hAnsi="Calibri Light" w:cs="Calibri Light"/>
          <w:sz w:val="16"/>
          <w:szCs w:val="16"/>
        </w:rPr>
        <w:footnoteRef/>
      </w:r>
      <w:r>
        <w:rPr>
          <w:rFonts w:ascii="Calibri Light" w:eastAsia="Calibri Light" w:hAnsi="Calibri Light" w:cs="Calibri Light"/>
          <w:sz w:val="16"/>
          <w:szCs w:val="16"/>
        </w:rPr>
        <w:t>La VAN EPRA est calculée comme suit : les capitaux propres (hors juste valeur des instruments de couverture autorisés, corrigés en déduisant les immobilisations incorporelles et les impôts reportés) divisés par le nombre d’actions.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841C4"/>
    <w:multiLevelType w:val="multilevel"/>
    <w:tmpl w:val="5304400A"/>
    <w:lvl w:ilvl="0">
      <w:start w:val="1"/>
      <w:numFmt w:val="decimal"/>
      <w:lvlText w:val="%1."/>
      <w:lvlJc w:val="left"/>
      <w:pPr>
        <w:ind w:left="360" w:hanging="360"/>
      </w:pPr>
      <w:rPr>
        <w:rFonts w:ascii="Calibri Light" w:hAnsi="Calibri Light" w:cs="Calibri Light"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B2F1DD7"/>
    <w:multiLevelType w:val="hybridMultilevel"/>
    <w:tmpl w:val="01FEE0F6"/>
    <w:lvl w:ilvl="0" w:tplc="7966C3EC">
      <w:start w:val="1"/>
      <w:numFmt w:val="decimal"/>
      <w:lvlText w:val="%1"/>
      <w:lvlJc w:val="left"/>
      <w:pPr>
        <w:ind w:left="440" w:hanging="720"/>
      </w:pPr>
      <w:rPr>
        <w:rFonts w:hint="default"/>
        <w:spacing w:val="-5"/>
        <w:w w:val="94"/>
        <w:lang w:val="nl-NL" w:eastAsia="nl-NL" w:bidi="nl-NL"/>
      </w:rPr>
    </w:lvl>
    <w:lvl w:ilvl="1" w:tplc="BE86C912">
      <w:numFmt w:val="bullet"/>
      <w:lvlText w:val="•"/>
      <w:lvlJc w:val="left"/>
      <w:pPr>
        <w:ind w:left="1528" w:hanging="720"/>
      </w:pPr>
      <w:rPr>
        <w:rFonts w:hint="default"/>
        <w:lang w:val="nl-NL" w:eastAsia="nl-NL" w:bidi="nl-NL"/>
      </w:rPr>
    </w:lvl>
    <w:lvl w:ilvl="2" w:tplc="3438C196">
      <w:numFmt w:val="bullet"/>
      <w:lvlText w:val="•"/>
      <w:lvlJc w:val="left"/>
      <w:pPr>
        <w:ind w:left="2617" w:hanging="720"/>
      </w:pPr>
      <w:rPr>
        <w:rFonts w:hint="default"/>
        <w:lang w:val="nl-NL" w:eastAsia="nl-NL" w:bidi="nl-NL"/>
      </w:rPr>
    </w:lvl>
    <w:lvl w:ilvl="3" w:tplc="20E416D0">
      <w:numFmt w:val="bullet"/>
      <w:lvlText w:val="•"/>
      <w:lvlJc w:val="left"/>
      <w:pPr>
        <w:ind w:left="3705" w:hanging="720"/>
      </w:pPr>
      <w:rPr>
        <w:rFonts w:hint="default"/>
        <w:lang w:val="nl-NL" w:eastAsia="nl-NL" w:bidi="nl-NL"/>
      </w:rPr>
    </w:lvl>
    <w:lvl w:ilvl="4" w:tplc="A746AA66">
      <w:numFmt w:val="bullet"/>
      <w:lvlText w:val="•"/>
      <w:lvlJc w:val="left"/>
      <w:pPr>
        <w:ind w:left="4794" w:hanging="720"/>
      </w:pPr>
      <w:rPr>
        <w:rFonts w:hint="default"/>
        <w:lang w:val="nl-NL" w:eastAsia="nl-NL" w:bidi="nl-NL"/>
      </w:rPr>
    </w:lvl>
    <w:lvl w:ilvl="5" w:tplc="B8AE709A">
      <w:numFmt w:val="bullet"/>
      <w:lvlText w:val="•"/>
      <w:lvlJc w:val="left"/>
      <w:pPr>
        <w:ind w:left="5882" w:hanging="720"/>
      </w:pPr>
      <w:rPr>
        <w:rFonts w:hint="default"/>
        <w:lang w:val="nl-NL" w:eastAsia="nl-NL" w:bidi="nl-NL"/>
      </w:rPr>
    </w:lvl>
    <w:lvl w:ilvl="6" w:tplc="2FE48908">
      <w:numFmt w:val="bullet"/>
      <w:lvlText w:val="•"/>
      <w:lvlJc w:val="left"/>
      <w:pPr>
        <w:ind w:left="6971" w:hanging="720"/>
      </w:pPr>
      <w:rPr>
        <w:rFonts w:hint="default"/>
        <w:lang w:val="nl-NL" w:eastAsia="nl-NL" w:bidi="nl-NL"/>
      </w:rPr>
    </w:lvl>
    <w:lvl w:ilvl="7" w:tplc="8A520B36">
      <w:numFmt w:val="bullet"/>
      <w:lvlText w:val="•"/>
      <w:lvlJc w:val="left"/>
      <w:pPr>
        <w:ind w:left="8059" w:hanging="720"/>
      </w:pPr>
      <w:rPr>
        <w:rFonts w:hint="default"/>
        <w:lang w:val="nl-NL" w:eastAsia="nl-NL" w:bidi="nl-NL"/>
      </w:rPr>
    </w:lvl>
    <w:lvl w:ilvl="8" w:tplc="6082B996">
      <w:numFmt w:val="bullet"/>
      <w:lvlText w:val="•"/>
      <w:lvlJc w:val="left"/>
      <w:pPr>
        <w:ind w:left="9148" w:hanging="720"/>
      </w:pPr>
      <w:rPr>
        <w:rFonts w:hint="default"/>
        <w:lang w:val="nl-NL" w:eastAsia="nl-NL" w:bidi="nl-NL"/>
      </w:rPr>
    </w:lvl>
  </w:abstractNum>
  <w:abstractNum w:abstractNumId="2" w15:restartNumberingAfterBreak="0">
    <w:nsid w:val="7D962741"/>
    <w:multiLevelType w:val="multilevel"/>
    <w:tmpl w:val="4B9C1938"/>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41956913">
    <w:abstractNumId w:val="1"/>
  </w:num>
  <w:num w:numId="2" w16cid:durableId="798913782">
    <w:abstractNumId w:val="0"/>
  </w:num>
  <w:num w:numId="3" w16cid:durableId="1342514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9F0"/>
    <w:rsid w:val="00011213"/>
    <w:rsid w:val="0001154D"/>
    <w:rsid w:val="000128A8"/>
    <w:rsid w:val="00016396"/>
    <w:rsid w:val="00027F12"/>
    <w:rsid w:val="00030BB8"/>
    <w:rsid w:val="000468D1"/>
    <w:rsid w:val="00063B10"/>
    <w:rsid w:val="00065557"/>
    <w:rsid w:val="0007131E"/>
    <w:rsid w:val="0007250A"/>
    <w:rsid w:val="00074815"/>
    <w:rsid w:val="000832EE"/>
    <w:rsid w:val="00096C4B"/>
    <w:rsid w:val="000B538F"/>
    <w:rsid w:val="000C209B"/>
    <w:rsid w:val="000C3980"/>
    <w:rsid w:val="000E4D35"/>
    <w:rsid w:val="000E7FA0"/>
    <w:rsid w:val="000F1B26"/>
    <w:rsid w:val="000F485B"/>
    <w:rsid w:val="00104754"/>
    <w:rsid w:val="00116C23"/>
    <w:rsid w:val="00136640"/>
    <w:rsid w:val="00150AF1"/>
    <w:rsid w:val="00152704"/>
    <w:rsid w:val="00161BB8"/>
    <w:rsid w:val="001720EC"/>
    <w:rsid w:val="00173A1A"/>
    <w:rsid w:val="00175459"/>
    <w:rsid w:val="00185600"/>
    <w:rsid w:val="00193482"/>
    <w:rsid w:val="001975B0"/>
    <w:rsid w:val="001A1849"/>
    <w:rsid w:val="001B07AC"/>
    <w:rsid w:val="001B10D1"/>
    <w:rsid w:val="001B53C9"/>
    <w:rsid w:val="001D13F4"/>
    <w:rsid w:val="001E08C6"/>
    <w:rsid w:val="001F0F09"/>
    <w:rsid w:val="001F4E62"/>
    <w:rsid w:val="00213747"/>
    <w:rsid w:val="00214E77"/>
    <w:rsid w:val="00215BE5"/>
    <w:rsid w:val="002420D3"/>
    <w:rsid w:val="00246E5A"/>
    <w:rsid w:val="00255912"/>
    <w:rsid w:val="00260EBE"/>
    <w:rsid w:val="00265600"/>
    <w:rsid w:val="00266B9E"/>
    <w:rsid w:val="00272A9B"/>
    <w:rsid w:val="00275619"/>
    <w:rsid w:val="002761A8"/>
    <w:rsid w:val="0028695A"/>
    <w:rsid w:val="00294452"/>
    <w:rsid w:val="002973F4"/>
    <w:rsid w:val="00297931"/>
    <w:rsid w:val="002A5559"/>
    <w:rsid w:val="002A77E3"/>
    <w:rsid w:val="002B43BF"/>
    <w:rsid w:val="002B5F8B"/>
    <w:rsid w:val="002B60CA"/>
    <w:rsid w:val="002E2AE2"/>
    <w:rsid w:val="002F1F76"/>
    <w:rsid w:val="00300219"/>
    <w:rsid w:val="00320AB2"/>
    <w:rsid w:val="003256A1"/>
    <w:rsid w:val="00330626"/>
    <w:rsid w:val="00330ED8"/>
    <w:rsid w:val="00332CDE"/>
    <w:rsid w:val="00332F98"/>
    <w:rsid w:val="00333014"/>
    <w:rsid w:val="00343384"/>
    <w:rsid w:val="00347ED2"/>
    <w:rsid w:val="00350C88"/>
    <w:rsid w:val="0036000F"/>
    <w:rsid w:val="00366904"/>
    <w:rsid w:val="003714F4"/>
    <w:rsid w:val="00385DBA"/>
    <w:rsid w:val="00386228"/>
    <w:rsid w:val="00387657"/>
    <w:rsid w:val="003926B8"/>
    <w:rsid w:val="00395F5F"/>
    <w:rsid w:val="003C7062"/>
    <w:rsid w:val="003E40A4"/>
    <w:rsid w:val="003F1C58"/>
    <w:rsid w:val="003F38F8"/>
    <w:rsid w:val="003F4F00"/>
    <w:rsid w:val="00436912"/>
    <w:rsid w:val="00443078"/>
    <w:rsid w:val="00451013"/>
    <w:rsid w:val="00456818"/>
    <w:rsid w:val="00460220"/>
    <w:rsid w:val="00464D09"/>
    <w:rsid w:val="00467C69"/>
    <w:rsid w:val="004747DC"/>
    <w:rsid w:val="00480720"/>
    <w:rsid w:val="00492221"/>
    <w:rsid w:val="004A0980"/>
    <w:rsid w:val="004A48AE"/>
    <w:rsid w:val="004A7EB7"/>
    <w:rsid w:val="004C4504"/>
    <w:rsid w:val="004D3314"/>
    <w:rsid w:val="00500624"/>
    <w:rsid w:val="0052214A"/>
    <w:rsid w:val="0053743E"/>
    <w:rsid w:val="00544E16"/>
    <w:rsid w:val="00564A50"/>
    <w:rsid w:val="005749F4"/>
    <w:rsid w:val="00581859"/>
    <w:rsid w:val="00583AC4"/>
    <w:rsid w:val="00593B6E"/>
    <w:rsid w:val="005A60A0"/>
    <w:rsid w:val="005A7F7A"/>
    <w:rsid w:val="005B70A2"/>
    <w:rsid w:val="005D2C9B"/>
    <w:rsid w:val="005E1BE3"/>
    <w:rsid w:val="005F31AE"/>
    <w:rsid w:val="005F7738"/>
    <w:rsid w:val="00612811"/>
    <w:rsid w:val="00620523"/>
    <w:rsid w:val="00625413"/>
    <w:rsid w:val="00625DD9"/>
    <w:rsid w:val="00630624"/>
    <w:rsid w:val="00635155"/>
    <w:rsid w:val="00635CE2"/>
    <w:rsid w:val="00635D51"/>
    <w:rsid w:val="00635D9D"/>
    <w:rsid w:val="0064387D"/>
    <w:rsid w:val="00653F46"/>
    <w:rsid w:val="00654F2F"/>
    <w:rsid w:val="006614B8"/>
    <w:rsid w:val="006707C4"/>
    <w:rsid w:val="00676D37"/>
    <w:rsid w:val="00677789"/>
    <w:rsid w:val="00691907"/>
    <w:rsid w:val="006969A0"/>
    <w:rsid w:val="006B19EA"/>
    <w:rsid w:val="006B639E"/>
    <w:rsid w:val="006B6440"/>
    <w:rsid w:val="006C50D6"/>
    <w:rsid w:val="006E4D20"/>
    <w:rsid w:val="00703C63"/>
    <w:rsid w:val="00722CEE"/>
    <w:rsid w:val="00724AF3"/>
    <w:rsid w:val="00751974"/>
    <w:rsid w:val="007550F5"/>
    <w:rsid w:val="00755983"/>
    <w:rsid w:val="00755B90"/>
    <w:rsid w:val="00773348"/>
    <w:rsid w:val="00773C6E"/>
    <w:rsid w:val="00773EF1"/>
    <w:rsid w:val="00775B66"/>
    <w:rsid w:val="00775F1F"/>
    <w:rsid w:val="0078135B"/>
    <w:rsid w:val="007858D8"/>
    <w:rsid w:val="00794B37"/>
    <w:rsid w:val="00794EE3"/>
    <w:rsid w:val="00797F9B"/>
    <w:rsid w:val="007A2680"/>
    <w:rsid w:val="007B0EDB"/>
    <w:rsid w:val="007C40EE"/>
    <w:rsid w:val="007E2E03"/>
    <w:rsid w:val="007E73B9"/>
    <w:rsid w:val="00816E78"/>
    <w:rsid w:val="008174DF"/>
    <w:rsid w:val="00832317"/>
    <w:rsid w:val="008409AD"/>
    <w:rsid w:val="00854C8D"/>
    <w:rsid w:val="008604BF"/>
    <w:rsid w:val="00865E27"/>
    <w:rsid w:val="0087148E"/>
    <w:rsid w:val="00884198"/>
    <w:rsid w:val="00896D13"/>
    <w:rsid w:val="008979CB"/>
    <w:rsid w:val="008A2E94"/>
    <w:rsid w:val="008A5144"/>
    <w:rsid w:val="008A7C50"/>
    <w:rsid w:val="008B4DEF"/>
    <w:rsid w:val="008C2B3D"/>
    <w:rsid w:val="008D45E7"/>
    <w:rsid w:val="008E750B"/>
    <w:rsid w:val="008E7EC8"/>
    <w:rsid w:val="00902692"/>
    <w:rsid w:val="009044C2"/>
    <w:rsid w:val="009164D0"/>
    <w:rsid w:val="00920017"/>
    <w:rsid w:val="009206A9"/>
    <w:rsid w:val="00937E7E"/>
    <w:rsid w:val="009475B6"/>
    <w:rsid w:val="009475D1"/>
    <w:rsid w:val="00952B64"/>
    <w:rsid w:val="00957637"/>
    <w:rsid w:val="00965203"/>
    <w:rsid w:val="0098285A"/>
    <w:rsid w:val="00984636"/>
    <w:rsid w:val="009A19BE"/>
    <w:rsid w:val="009B5A68"/>
    <w:rsid w:val="009B7BDC"/>
    <w:rsid w:val="009D3967"/>
    <w:rsid w:val="009D51BD"/>
    <w:rsid w:val="009D5811"/>
    <w:rsid w:val="009D75E6"/>
    <w:rsid w:val="009E44D4"/>
    <w:rsid w:val="00A04D2B"/>
    <w:rsid w:val="00A23C39"/>
    <w:rsid w:val="00A35E0A"/>
    <w:rsid w:val="00A41BAA"/>
    <w:rsid w:val="00A44E6C"/>
    <w:rsid w:val="00A46241"/>
    <w:rsid w:val="00A55598"/>
    <w:rsid w:val="00A56EFC"/>
    <w:rsid w:val="00A66577"/>
    <w:rsid w:val="00A85829"/>
    <w:rsid w:val="00A859F0"/>
    <w:rsid w:val="00A86E58"/>
    <w:rsid w:val="00A91EE7"/>
    <w:rsid w:val="00A92578"/>
    <w:rsid w:val="00A952F0"/>
    <w:rsid w:val="00AF226D"/>
    <w:rsid w:val="00AF47B0"/>
    <w:rsid w:val="00B123B0"/>
    <w:rsid w:val="00B15B02"/>
    <w:rsid w:val="00B24CDC"/>
    <w:rsid w:val="00B34CB4"/>
    <w:rsid w:val="00B44E08"/>
    <w:rsid w:val="00B47EC8"/>
    <w:rsid w:val="00B52EF7"/>
    <w:rsid w:val="00B553D5"/>
    <w:rsid w:val="00B6403D"/>
    <w:rsid w:val="00B708A9"/>
    <w:rsid w:val="00B77DF1"/>
    <w:rsid w:val="00B863C9"/>
    <w:rsid w:val="00B91300"/>
    <w:rsid w:val="00B945D0"/>
    <w:rsid w:val="00B96C91"/>
    <w:rsid w:val="00B96E68"/>
    <w:rsid w:val="00B975EF"/>
    <w:rsid w:val="00BB68F7"/>
    <w:rsid w:val="00BC70C6"/>
    <w:rsid w:val="00BE4996"/>
    <w:rsid w:val="00BF6519"/>
    <w:rsid w:val="00C1181F"/>
    <w:rsid w:val="00C17F8E"/>
    <w:rsid w:val="00C20E24"/>
    <w:rsid w:val="00C21B13"/>
    <w:rsid w:val="00C2219C"/>
    <w:rsid w:val="00C42B97"/>
    <w:rsid w:val="00C44C01"/>
    <w:rsid w:val="00C464AB"/>
    <w:rsid w:val="00C533D7"/>
    <w:rsid w:val="00C63DD6"/>
    <w:rsid w:val="00C66EF1"/>
    <w:rsid w:val="00C67E03"/>
    <w:rsid w:val="00C70622"/>
    <w:rsid w:val="00C70C68"/>
    <w:rsid w:val="00C72EE6"/>
    <w:rsid w:val="00C74124"/>
    <w:rsid w:val="00C82255"/>
    <w:rsid w:val="00C93E94"/>
    <w:rsid w:val="00CB18F5"/>
    <w:rsid w:val="00CB53F1"/>
    <w:rsid w:val="00CE4AEC"/>
    <w:rsid w:val="00CE5B2A"/>
    <w:rsid w:val="00CF6EC8"/>
    <w:rsid w:val="00CF7402"/>
    <w:rsid w:val="00D12B9A"/>
    <w:rsid w:val="00D165BD"/>
    <w:rsid w:val="00D20946"/>
    <w:rsid w:val="00D20E32"/>
    <w:rsid w:val="00D3409D"/>
    <w:rsid w:val="00D47620"/>
    <w:rsid w:val="00D504A8"/>
    <w:rsid w:val="00D5428F"/>
    <w:rsid w:val="00D6320B"/>
    <w:rsid w:val="00D81366"/>
    <w:rsid w:val="00D86035"/>
    <w:rsid w:val="00D861A3"/>
    <w:rsid w:val="00DA1932"/>
    <w:rsid w:val="00DA1F26"/>
    <w:rsid w:val="00DC2C52"/>
    <w:rsid w:val="00DD0D30"/>
    <w:rsid w:val="00DD6502"/>
    <w:rsid w:val="00DE01AE"/>
    <w:rsid w:val="00DE7B49"/>
    <w:rsid w:val="00DE7D1A"/>
    <w:rsid w:val="00E13943"/>
    <w:rsid w:val="00E165DD"/>
    <w:rsid w:val="00E20520"/>
    <w:rsid w:val="00E34E45"/>
    <w:rsid w:val="00E426E3"/>
    <w:rsid w:val="00E465B5"/>
    <w:rsid w:val="00E47165"/>
    <w:rsid w:val="00E75211"/>
    <w:rsid w:val="00E905B0"/>
    <w:rsid w:val="00EB5E22"/>
    <w:rsid w:val="00EE18F6"/>
    <w:rsid w:val="00EF2A2D"/>
    <w:rsid w:val="00EF4F55"/>
    <w:rsid w:val="00F00DE3"/>
    <w:rsid w:val="00F11FD4"/>
    <w:rsid w:val="00F12B09"/>
    <w:rsid w:val="00F25864"/>
    <w:rsid w:val="00F4288B"/>
    <w:rsid w:val="00F50D22"/>
    <w:rsid w:val="00F5123B"/>
    <w:rsid w:val="00F525C8"/>
    <w:rsid w:val="00F53953"/>
    <w:rsid w:val="00F65949"/>
    <w:rsid w:val="00F77B0E"/>
    <w:rsid w:val="00F93945"/>
    <w:rsid w:val="00F93A90"/>
    <w:rsid w:val="00FC0F91"/>
    <w:rsid w:val="00FD098F"/>
    <w:rsid w:val="00FE5482"/>
    <w:rsid w:val="00FE6BEE"/>
    <w:rsid w:val="00FF5345"/>
    <w:rsid w:val="00FF69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55065"/>
  <w15:docId w15:val="{5742269B-EBF4-47A7-9D0F-7B5DAB77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ard">
    <w:name w:val="Normal"/>
    <w:qFormat/>
    <w:rPr>
      <w:rFonts w:ascii="Calibri Light" w:eastAsia="Calibri Light" w:hAnsi="Calibri Light" w:cs="Calibri Light"/>
      <w:lang w:val="nl-NL" w:eastAsia="nl-NL" w:bidi="nl-NL"/>
    </w:rPr>
  </w:style>
  <w:style w:type="paragraph" w:styleId="Kop1">
    <w:name w:val="heading 1"/>
    <w:basedOn w:val="Standaard"/>
    <w:uiPriority w:val="9"/>
    <w:qFormat/>
    <w:pPr>
      <w:spacing w:before="43"/>
      <w:ind w:left="440"/>
      <w:outlineLvl w:val="0"/>
    </w:pPr>
    <w:rPr>
      <w:rFonts w:ascii="Calibri" w:eastAsia="Calibri" w:hAnsi="Calibri" w:cs="Calibri"/>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aliases w:val="Table of contents numbered"/>
    <w:basedOn w:val="Standaard"/>
    <w:link w:val="LijstalineaChar"/>
    <w:uiPriority w:val="34"/>
    <w:qFormat/>
    <w:pPr>
      <w:ind w:left="440" w:hanging="721"/>
    </w:pPr>
    <w:rPr>
      <w:rFonts w:ascii="Calibri" w:eastAsia="Calibri" w:hAnsi="Calibri" w:cs="Calibri"/>
    </w:rPr>
  </w:style>
  <w:style w:type="paragraph" w:customStyle="1" w:styleId="TableParagraph">
    <w:name w:val="Table Paragraph"/>
    <w:basedOn w:val="Standaard"/>
    <w:uiPriority w:val="1"/>
    <w:qFormat/>
    <w:pPr>
      <w:spacing w:before="13" w:line="225" w:lineRule="exact"/>
    </w:pPr>
    <w:rPr>
      <w:rFonts w:ascii="Calibri" w:eastAsia="Calibri" w:hAnsi="Calibri" w:cs="Calibri"/>
    </w:rPr>
  </w:style>
  <w:style w:type="paragraph" w:styleId="Ballontekst">
    <w:name w:val="Balloon Text"/>
    <w:basedOn w:val="Standaard"/>
    <w:link w:val="BallontekstChar"/>
    <w:uiPriority w:val="99"/>
    <w:semiHidden/>
    <w:unhideWhenUsed/>
    <w:rsid w:val="00116C2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6C23"/>
    <w:rPr>
      <w:rFonts w:ascii="Segoe UI" w:eastAsia="Calibri Light" w:hAnsi="Segoe UI" w:cs="Segoe UI"/>
      <w:sz w:val="18"/>
      <w:szCs w:val="18"/>
      <w:lang w:val="nl-NL" w:eastAsia="nl-NL" w:bidi="nl-NL"/>
    </w:rPr>
  </w:style>
  <w:style w:type="paragraph" w:customStyle="1" w:styleId="Paragraphestandard">
    <w:name w:val="[Paragraphe standard]"/>
    <w:basedOn w:val="Standaard"/>
    <w:uiPriority w:val="99"/>
    <w:rsid w:val="00B975EF"/>
    <w:pPr>
      <w:adjustRightInd w:val="0"/>
      <w:spacing w:line="288" w:lineRule="auto"/>
      <w:textAlignment w:val="center"/>
    </w:pPr>
    <w:rPr>
      <w:rFonts w:ascii="MinionPro-Regular" w:eastAsia="Cambria" w:hAnsi="MinionPro-Regular" w:cs="MinionPro-Regular"/>
      <w:color w:val="000000"/>
      <w:sz w:val="24"/>
      <w:szCs w:val="24"/>
      <w:lang w:val="fr-FR" w:eastAsia="en-US" w:bidi="ar-SA"/>
    </w:rPr>
  </w:style>
  <w:style w:type="paragraph" w:customStyle="1" w:styleId="BasicParagraph">
    <w:name w:val="[Basic Paragraph]"/>
    <w:basedOn w:val="Standaard"/>
    <w:uiPriority w:val="99"/>
    <w:rsid w:val="00B975EF"/>
    <w:pPr>
      <w:widowControl/>
      <w:adjustRightInd w:val="0"/>
      <w:spacing w:line="288" w:lineRule="auto"/>
      <w:textAlignment w:val="center"/>
    </w:pPr>
    <w:rPr>
      <w:rFonts w:ascii="Minion Pro" w:eastAsiaTheme="minorHAnsi" w:hAnsi="Minion Pro" w:cs="Minion Pro"/>
      <w:color w:val="000000"/>
      <w:sz w:val="24"/>
      <w:szCs w:val="24"/>
      <w:lang w:val="fr-FR" w:eastAsia="en-US" w:bidi="ar-SA"/>
    </w:rPr>
  </w:style>
  <w:style w:type="character" w:styleId="Hyperlink">
    <w:name w:val="Hyperlink"/>
    <w:basedOn w:val="Standaardalinea-lettertype"/>
    <w:uiPriority w:val="99"/>
    <w:unhideWhenUsed/>
    <w:rsid w:val="00DA1F26"/>
    <w:rPr>
      <w:color w:val="0000FF" w:themeColor="hyperlink"/>
      <w:u w:val="single"/>
    </w:rPr>
  </w:style>
  <w:style w:type="character" w:customStyle="1" w:styleId="Mentionnonrsolue1">
    <w:name w:val="Mention non résolue1"/>
    <w:basedOn w:val="Standaardalinea-lettertype"/>
    <w:uiPriority w:val="99"/>
    <w:semiHidden/>
    <w:unhideWhenUsed/>
    <w:rsid w:val="00DA1F26"/>
    <w:rPr>
      <w:color w:val="605E5C"/>
      <w:shd w:val="clear" w:color="auto" w:fill="E1DFDD"/>
    </w:rPr>
  </w:style>
  <w:style w:type="character" w:styleId="GevolgdeHyperlink">
    <w:name w:val="FollowedHyperlink"/>
    <w:basedOn w:val="Standaardalinea-lettertype"/>
    <w:uiPriority w:val="99"/>
    <w:semiHidden/>
    <w:unhideWhenUsed/>
    <w:rsid w:val="00DA1F26"/>
    <w:rPr>
      <w:color w:val="800080" w:themeColor="followedHyperlink"/>
      <w:u w:val="single"/>
    </w:rPr>
  </w:style>
  <w:style w:type="paragraph" w:styleId="Voetnoottekst">
    <w:name w:val="footnote text"/>
    <w:basedOn w:val="Standaard"/>
    <w:link w:val="VoetnoottekstChar"/>
    <w:uiPriority w:val="99"/>
    <w:semiHidden/>
    <w:unhideWhenUsed/>
    <w:rsid w:val="00965203"/>
    <w:pPr>
      <w:widowControl/>
      <w:autoSpaceDE/>
      <w:autoSpaceDN/>
    </w:pPr>
    <w:rPr>
      <w:rFonts w:ascii="Cambria" w:eastAsia="Cambria" w:hAnsi="Cambria" w:cs="Times New Roman"/>
      <w:sz w:val="20"/>
      <w:szCs w:val="20"/>
      <w:lang w:val="fr-FR" w:eastAsia="en-US" w:bidi="ar-SA"/>
    </w:rPr>
  </w:style>
  <w:style w:type="character" w:customStyle="1" w:styleId="VoetnoottekstChar">
    <w:name w:val="Voetnoottekst Char"/>
    <w:basedOn w:val="Standaardalinea-lettertype"/>
    <w:link w:val="Voetnoottekst"/>
    <w:uiPriority w:val="99"/>
    <w:semiHidden/>
    <w:rsid w:val="00965203"/>
    <w:rPr>
      <w:rFonts w:ascii="Cambria" w:eastAsia="Cambria" w:hAnsi="Cambria" w:cs="Times New Roman"/>
      <w:sz w:val="20"/>
      <w:szCs w:val="20"/>
      <w:lang w:val="fr-FR"/>
    </w:rPr>
  </w:style>
  <w:style w:type="character" w:styleId="Voetnootmarkering">
    <w:name w:val="footnote reference"/>
    <w:basedOn w:val="Standaardalinea-lettertype"/>
    <w:uiPriority w:val="99"/>
    <w:semiHidden/>
    <w:unhideWhenUsed/>
    <w:rsid w:val="00965203"/>
    <w:rPr>
      <w:vertAlign w:val="superscript"/>
    </w:rPr>
  </w:style>
  <w:style w:type="character" w:customStyle="1" w:styleId="LijstalineaChar">
    <w:name w:val="Lijstalinea Char"/>
    <w:aliases w:val="Table of contents numbered Char"/>
    <w:basedOn w:val="Standaardalinea-lettertype"/>
    <w:link w:val="Lijstalinea"/>
    <w:uiPriority w:val="34"/>
    <w:locked/>
    <w:rsid w:val="00965203"/>
    <w:rPr>
      <w:rFonts w:ascii="Calibri" w:eastAsia="Calibri" w:hAnsi="Calibri" w:cs="Calibri"/>
      <w:lang w:val="nl-NL" w:eastAsia="nl-NL" w:bidi="nl-NL"/>
    </w:rPr>
  </w:style>
  <w:style w:type="character" w:styleId="Verwijzingopmerking">
    <w:name w:val="annotation reference"/>
    <w:basedOn w:val="Standaardalinea-lettertype"/>
    <w:uiPriority w:val="99"/>
    <w:semiHidden/>
    <w:unhideWhenUsed/>
    <w:rsid w:val="00C2219C"/>
    <w:rPr>
      <w:sz w:val="16"/>
      <w:szCs w:val="16"/>
    </w:rPr>
  </w:style>
  <w:style w:type="paragraph" w:styleId="Tekstopmerking">
    <w:name w:val="annotation text"/>
    <w:basedOn w:val="Standaard"/>
    <w:link w:val="TekstopmerkingChar"/>
    <w:uiPriority w:val="99"/>
    <w:unhideWhenUsed/>
    <w:rsid w:val="00C2219C"/>
    <w:rPr>
      <w:sz w:val="20"/>
      <w:szCs w:val="20"/>
    </w:rPr>
  </w:style>
  <w:style w:type="character" w:customStyle="1" w:styleId="TekstopmerkingChar">
    <w:name w:val="Tekst opmerking Char"/>
    <w:basedOn w:val="Standaardalinea-lettertype"/>
    <w:link w:val="Tekstopmerking"/>
    <w:uiPriority w:val="99"/>
    <w:rsid w:val="00C2219C"/>
    <w:rPr>
      <w:rFonts w:ascii="Calibri Light" w:eastAsia="Calibri Light" w:hAnsi="Calibri Light" w:cs="Calibri Light"/>
      <w:sz w:val="20"/>
      <w:szCs w:val="20"/>
      <w:lang w:val="nl-NL" w:eastAsia="nl-NL" w:bidi="nl-NL"/>
    </w:rPr>
  </w:style>
  <w:style w:type="paragraph" w:styleId="Onderwerpvanopmerking">
    <w:name w:val="annotation subject"/>
    <w:basedOn w:val="Tekstopmerking"/>
    <w:next w:val="Tekstopmerking"/>
    <w:link w:val="OnderwerpvanopmerkingChar"/>
    <w:uiPriority w:val="99"/>
    <w:semiHidden/>
    <w:unhideWhenUsed/>
    <w:rsid w:val="00C2219C"/>
    <w:rPr>
      <w:b/>
      <w:bCs/>
    </w:rPr>
  </w:style>
  <w:style w:type="character" w:customStyle="1" w:styleId="OnderwerpvanopmerkingChar">
    <w:name w:val="Onderwerp van opmerking Char"/>
    <w:basedOn w:val="TekstopmerkingChar"/>
    <w:link w:val="Onderwerpvanopmerking"/>
    <w:uiPriority w:val="99"/>
    <w:semiHidden/>
    <w:rsid w:val="00C2219C"/>
    <w:rPr>
      <w:rFonts w:ascii="Calibri Light" w:eastAsia="Calibri Light" w:hAnsi="Calibri Light" w:cs="Calibri Light"/>
      <w:b/>
      <w:bCs/>
      <w:sz w:val="20"/>
      <w:szCs w:val="20"/>
      <w:lang w:val="nl-NL" w:eastAsia="nl-NL" w:bidi="nl-NL"/>
    </w:rPr>
  </w:style>
  <w:style w:type="paragraph" w:styleId="Koptekst">
    <w:name w:val="header"/>
    <w:basedOn w:val="Standaard"/>
    <w:link w:val="KoptekstChar"/>
    <w:uiPriority w:val="99"/>
    <w:unhideWhenUsed/>
    <w:rsid w:val="00B708A9"/>
    <w:pPr>
      <w:tabs>
        <w:tab w:val="center" w:pos="4536"/>
        <w:tab w:val="right" w:pos="9072"/>
      </w:tabs>
    </w:pPr>
  </w:style>
  <w:style w:type="character" w:customStyle="1" w:styleId="KoptekstChar">
    <w:name w:val="Koptekst Char"/>
    <w:basedOn w:val="Standaardalinea-lettertype"/>
    <w:link w:val="Koptekst"/>
    <w:uiPriority w:val="99"/>
    <w:rsid w:val="00B708A9"/>
    <w:rPr>
      <w:rFonts w:ascii="Calibri Light" w:eastAsia="Calibri Light" w:hAnsi="Calibri Light" w:cs="Calibri Light"/>
      <w:lang w:val="nl-NL" w:eastAsia="nl-NL" w:bidi="nl-NL"/>
    </w:rPr>
  </w:style>
  <w:style w:type="paragraph" w:styleId="Voettekst">
    <w:name w:val="footer"/>
    <w:basedOn w:val="Standaard"/>
    <w:link w:val="VoettekstChar"/>
    <w:uiPriority w:val="99"/>
    <w:unhideWhenUsed/>
    <w:rsid w:val="00B708A9"/>
    <w:pPr>
      <w:tabs>
        <w:tab w:val="center" w:pos="4536"/>
        <w:tab w:val="right" w:pos="9072"/>
      </w:tabs>
    </w:pPr>
  </w:style>
  <w:style w:type="character" w:customStyle="1" w:styleId="VoettekstChar">
    <w:name w:val="Voettekst Char"/>
    <w:basedOn w:val="Standaardalinea-lettertype"/>
    <w:link w:val="Voettekst"/>
    <w:uiPriority w:val="99"/>
    <w:rsid w:val="00B708A9"/>
    <w:rPr>
      <w:rFonts w:ascii="Calibri Light" w:eastAsia="Calibri Light" w:hAnsi="Calibri Light" w:cs="Calibri Light"/>
      <w:lang w:val="nl-NL" w:eastAsia="nl-NL" w:bidi="nl-NL"/>
    </w:rPr>
  </w:style>
  <w:style w:type="table" w:styleId="Tabelraster">
    <w:name w:val="Table Grid"/>
    <w:basedOn w:val="Standaardtabel"/>
    <w:uiPriority w:val="39"/>
    <w:rsid w:val="00F93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214E77"/>
    <w:pPr>
      <w:widowControl/>
      <w:autoSpaceDE/>
      <w:autoSpaceDN/>
    </w:pPr>
    <w:rPr>
      <w:rFonts w:ascii="Calibri Light" w:eastAsia="Calibri Light" w:hAnsi="Calibri Light" w:cs="Calibri Light"/>
      <w:lang w:val="nl-NL"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9C865-DCA2-42E5-AA69-180F937EB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Pages>
  <Words>1366</Words>
  <Characters>7515</Characters>
  <Application>Microsoft Office Word</Application>
  <DocSecurity>0</DocSecurity>
  <Lines>62</Lines>
  <Paragraphs>17</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Penxten</dc:creator>
  <cp:lastModifiedBy>Nele Van Cutsem</cp:lastModifiedBy>
  <cp:revision>11</cp:revision>
  <cp:lastPrinted>2021-08-19T13:37:00Z</cp:lastPrinted>
  <dcterms:created xsi:type="dcterms:W3CDTF">2022-08-16T09:26:00Z</dcterms:created>
  <dcterms:modified xsi:type="dcterms:W3CDTF">2022-08-25T12:42:00Z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Adobe InDesign 15.0 (Windows)</vt:lpwstr>
  </property>
  <property fmtid="{D5CDD505-2E9C-101B-9397-08002B2CF9AE}" pid="4" name="LastSaved">
    <vt:filetime>2020-06-11T00:00:00Z</vt:filetime>
  </property>
  <property fmtid="{D5CDD505-2E9C-101B-9397-08002B2CF9AE}" pid="5" name="_DocHome">
    <vt:i4>992840312</vt:i4>
  </property>
</Properties>
</file>